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F280D" w14:textId="77777777" w:rsidR="00CD0872" w:rsidRPr="00257E69" w:rsidRDefault="0077631F" w:rsidP="00257E69">
      <w:pPr>
        <w:pStyle w:val="Title"/>
      </w:pPr>
      <w:r>
        <w:t>FOR WORKPAPERS COVERING RESIDENTIAL VARIABLE SPEED POOL PUMPS</w:t>
      </w:r>
    </w:p>
    <w:p w14:paraId="4D10498C" w14:textId="77777777" w:rsidR="0077631F" w:rsidRPr="00257E69" w:rsidRDefault="0077631F" w:rsidP="0077631F">
      <w:pPr>
        <w:pStyle w:val="Subtitle"/>
      </w:pPr>
      <w:r>
        <w:t>California Public Utilities Commission, Energy Division</w:t>
      </w:r>
    </w:p>
    <w:p w14:paraId="04E25D00" w14:textId="77777777" w:rsidR="00CD0872" w:rsidRDefault="006E083D" w:rsidP="00774848">
      <w:pPr>
        <w:pStyle w:val="DispositionDate"/>
      </w:pPr>
      <w:r>
        <w:t>March 1</w:t>
      </w:r>
      <w:r w:rsidR="0077631F">
        <w:t>, 2017</w:t>
      </w:r>
    </w:p>
    <w:p w14:paraId="7B167401" w14:textId="77777777" w:rsidR="008504F1" w:rsidRDefault="008504F1">
      <w:pPr>
        <w:pStyle w:val="TOC1"/>
        <w:tabs>
          <w:tab w:val="right" w:leader="dot" w:pos="9350"/>
        </w:tabs>
      </w:pPr>
    </w:p>
    <w:p w14:paraId="276D549C" w14:textId="77777777" w:rsidR="008504F1" w:rsidRDefault="008504F1">
      <w:pPr>
        <w:pStyle w:val="TOC1"/>
        <w:tabs>
          <w:tab w:val="right" w:leader="dot" w:pos="9350"/>
        </w:tabs>
      </w:pPr>
    </w:p>
    <w:p w14:paraId="28539D18" w14:textId="77777777" w:rsidR="00286D50" w:rsidRDefault="00235ACC">
      <w:pPr>
        <w:pStyle w:val="TOC1"/>
        <w:tabs>
          <w:tab w:val="right" w:leader="dot" w:pos="9350"/>
        </w:tabs>
        <w:rPr>
          <w:rFonts w:asciiTheme="minorHAnsi" w:eastAsiaTheme="minorEastAsia" w:hAnsiTheme="minorHAnsi"/>
          <w:noProof/>
        </w:rPr>
      </w:pPr>
      <w:r>
        <w:fldChar w:fldCharType="begin"/>
      </w:r>
      <w:r>
        <w:instrText xml:space="preserve"> TOC \o "1-2" \h \z \u </w:instrText>
      </w:r>
      <w:r>
        <w:fldChar w:fldCharType="separate"/>
      </w:r>
      <w:hyperlink w:anchor="_Toc476045331" w:history="1">
        <w:r w:rsidR="00286D50" w:rsidRPr="003C3AE9">
          <w:rPr>
            <w:rStyle w:val="Hyperlink"/>
            <w:noProof/>
          </w:rPr>
          <w:t>1. Review Scope</w:t>
        </w:r>
        <w:r w:rsidR="00286D50">
          <w:rPr>
            <w:noProof/>
            <w:webHidden/>
          </w:rPr>
          <w:tab/>
        </w:r>
        <w:r w:rsidR="00286D50">
          <w:rPr>
            <w:noProof/>
            <w:webHidden/>
          </w:rPr>
          <w:fldChar w:fldCharType="begin"/>
        </w:r>
        <w:r w:rsidR="00286D50">
          <w:rPr>
            <w:noProof/>
            <w:webHidden/>
          </w:rPr>
          <w:instrText xml:space="preserve"> PAGEREF _Toc476045331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14:paraId="2ABE72F1" w14:textId="77777777" w:rsidR="00286D50" w:rsidRDefault="009C72A8">
      <w:pPr>
        <w:pStyle w:val="TOC1"/>
        <w:tabs>
          <w:tab w:val="right" w:leader="dot" w:pos="9350"/>
        </w:tabs>
        <w:rPr>
          <w:rFonts w:asciiTheme="minorHAnsi" w:eastAsiaTheme="minorEastAsia" w:hAnsiTheme="minorHAnsi"/>
          <w:noProof/>
        </w:rPr>
      </w:pPr>
      <w:hyperlink w:anchor="_Toc476045332" w:history="1">
        <w:r w:rsidR="00286D50" w:rsidRPr="003C3AE9">
          <w:rPr>
            <w:rStyle w:val="Hyperlink"/>
            <w:noProof/>
          </w:rPr>
          <w:t>2. Critical Review Issues</w:t>
        </w:r>
        <w:r w:rsidR="00286D50">
          <w:rPr>
            <w:noProof/>
            <w:webHidden/>
          </w:rPr>
          <w:tab/>
        </w:r>
        <w:r w:rsidR="00286D50">
          <w:rPr>
            <w:noProof/>
            <w:webHidden/>
          </w:rPr>
          <w:fldChar w:fldCharType="begin"/>
        </w:r>
        <w:r w:rsidR="00286D50">
          <w:rPr>
            <w:noProof/>
            <w:webHidden/>
          </w:rPr>
          <w:instrText xml:space="preserve"> PAGEREF _Toc476045332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14:paraId="674C5D7E" w14:textId="77777777" w:rsidR="00286D50" w:rsidRDefault="009C72A8">
      <w:pPr>
        <w:pStyle w:val="TOC2"/>
        <w:tabs>
          <w:tab w:val="right" w:leader="dot" w:pos="9350"/>
        </w:tabs>
        <w:rPr>
          <w:rFonts w:asciiTheme="minorHAnsi" w:eastAsiaTheme="minorEastAsia" w:hAnsiTheme="minorHAnsi"/>
          <w:noProof/>
        </w:rPr>
      </w:pPr>
      <w:hyperlink w:anchor="_Toc476045333" w:history="1">
        <w:r w:rsidR="00286D50" w:rsidRPr="003C3AE9">
          <w:rPr>
            <w:rStyle w:val="Hyperlink"/>
            <w:noProof/>
          </w:rPr>
          <w:t>2.1. Assumption regarding market saturation of 2-speed pumps is out of date</w:t>
        </w:r>
        <w:r w:rsidR="00286D50">
          <w:rPr>
            <w:noProof/>
            <w:webHidden/>
          </w:rPr>
          <w:tab/>
        </w:r>
        <w:r w:rsidR="00286D50">
          <w:rPr>
            <w:noProof/>
            <w:webHidden/>
          </w:rPr>
          <w:fldChar w:fldCharType="begin"/>
        </w:r>
        <w:r w:rsidR="00286D50">
          <w:rPr>
            <w:noProof/>
            <w:webHidden/>
          </w:rPr>
          <w:instrText xml:space="preserve"> PAGEREF _Toc476045333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14:paraId="77AB91B9" w14:textId="77777777" w:rsidR="00286D50" w:rsidRDefault="009C72A8">
      <w:pPr>
        <w:pStyle w:val="TOC2"/>
        <w:tabs>
          <w:tab w:val="right" w:leader="dot" w:pos="9350"/>
        </w:tabs>
        <w:rPr>
          <w:rFonts w:asciiTheme="minorHAnsi" w:eastAsiaTheme="minorEastAsia" w:hAnsiTheme="minorHAnsi"/>
          <w:noProof/>
        </w:rPr>
      </w:pPr>
      <w:hyperlink w:anchor="_Toc476045335" w:history="1">
        <w:r w:rsidR="00286D50" w:rsidRPr="003C3AE9">
          <w:rPr>
            <w:rStyle w:val="Hyperlink"/>
            <w:noProof/>
          </w:rPr>
          <w:t>2.2. PAs have varying energy savings approaches for identical measures</w:t>
        </w:r>
        <w:r w:rsidR="00286D50">
          <w:rPr>
            <w:noProof/>
            <w:webHidden/>
          </w:rPr>
          <w:tab/>
        </w:r>
        <w:r w:rsidR="00286D50">
          <w:rPr>
            <w:noProof/>
            <w:webHidden/>
          </w:rPr>
          <w:fldChar w:fldCharType="begin"/>
        </w:r>
        <w:r w:rsidR="00286D50">
          <w:rPr>
            <w:noProof/>
            <w:webHidden/>
          </w:rPr>
          <w:instrText xml:space="preserve"> PAGEREF _Toc476045335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14:paraId="0C025614" w14:textId="77777777" w:rsidR="00286D50" w:rsidRDefault="009C72A8">
      <w:pPr>
        <w:pStyle w:val="TOC2"/>
        <w:tabs>
          <w:tab w:val="right" w:leader="dot" w:pos="9350"/>
        </w:tabs>
        <w:rPr>
          <w:rFonts w:asciiTheme="minorHAnsi" w:eastAsiaTheme="minorEastAsia" w:hAnsiTheme="minorHAnsi"/>
          <w:noProof/>
        </w:rPr>
      </w:pPr>
      <w:hyperlink w:anchor="_Toc476045336" w:history="1">
        <w:r w:rsidR="00286D50" w:rsidRPr="003C3AE9">
          <w:rPr>
            <w:rStyle w:val="Hyperlink"/>
            <w:noProof/>
          </w:rPr>
          <w:t>2.3. Ex ante data submissions have various errors</w:t>
        </w:r>
        <w:r w:rsidR="00286D50">
          <w:rPr>
            <w:noProof/>
            <w:webHidden/>
          </w:rPr>
          <w:tab/>
        </w:r>
        <w:r w:rsidR="00286D50">
          <w:rPr>
            <w:noProof/>
            <w:webHidden/>
          </w:rPr>
          <w:fldChar w:fldCharType="begin"/>
        </w:r>
        <w:r w:rsidR="00286D50">
          <w:rPr>
            <w:noProof/>
            <w:webHidden/>
          </w:rPr>
          <w:instrText xml:space="preserve"> PAGEREF _Toc476045336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14:paraId="50ACF815" w14:textId="77777777" w:rsidR="00286D50" w:rsidRDefault="009C72A8">
      <w:pPr>
        <w:pStyle w:val="TOC2"/>
        <w:tabs>
          <w:tab w:val="right" w:leader="dot" w:pos="9350"/>
        </w:tabs>
        <w:rPr>
          <w:rFonts w:asciiTheme="minorHAnsi" w:eastAsiaTheme="minorEastAsia" w:hAnsiTheme="minorHAnsi"/>
          <w:noProof/>
        </w:rPr>
      </w:pPr>
      <w:hyperlink w:anchor="_Toc476045337" w:history="1">
        <w:r w:rsidR="00286D50" w:rsidRPr="003C3AE9">
          <w:rPr>
            <w:rStyle w:val="Hyperlink"/>
            <w:noProof/>
          </w:rPr>
          <w:t>2.4. Technology costs vary across the state</w:t>
        </w:r>
        <w:r w:rsidR="00286D50">
          <w:rPr>
            <w:noProof/>
            <w:webHidden/>
          </w:rPr>
          <w:tab/>
        </w:r>
        <w:r w:rsidR="00286D50">
          <w:rPr>
            <w:noProof/>
            <w:webHidden/>
          </w:rPr>
          <w:fldChar w:fldCharType="begin"/>
        </w:r>
        <w:r w:rsidR="00286D50">
          <w:rPr>
            <w:noProof/>
            <w:webHidden/>
          </w:rPr>
          <w:instrText xml:space="preserve"> PAGEREF _Toc476045337 \h </w:instrText>
        </w:r>
        <w:r w:rsidR="00286D50">
          <w:rPr>
            <w:noProof/>
            <w:webHidden/>
          </w:rPr>
        </w:r>
        <w:r w:rsidR="00286D50">
          <w:rPr>
            <w:noProof/>
            <w:webHidden/>
          </w:rPr>
          <w:fldChar w:fldCharType="separate"/>
        </w:r>
        <w:r w:rsidR="00286D50">
          <w:rPr>
            <w:noProof/>
            <w:webHidden/>
          </w:rPr>
          <w:t>2</w:t>
        </w:r>
        <w:r w:rsidR="00286D50">
          <w:rPr>
            <w:noProof/>
            <w:webHidden/>
          </w:rPr>
          <w:fldChar w:fldCharType="end"/>
        </w:r>
      </w:hyperlink>
    </w:p>
    <w:p w14:paraId="16B62E06" w14:textId="77777777" w:rsidR="00286D50" w:rsidRDefault="009C72A8">
      <w:pPr>
        <w:pStyle w:val="TOC1"/>
        <w:tabs>
          <w:tab w:val="right" w:leader="dot" w:pos="9350"/>
        </w:tabs>
        <w:rPr>
          <w:rFonts w:asciiTheme="minorHAnsi" w:eastAsiaTheme="minorEastAsia" w:hAnsiTheme="minorHAnsi"/>
          <w:noProof/>
        </w:rPr>
      </w:pPr>
      <w:hyperlink w:anchor="_Toc476045338" w:history="1">
        <w:r w:rsidR="00286D50" w:rsidRPr="003C3AE9">
          <w:rPr>
            <w:rStyle w:val="Hyperlink"/>
            <w:noProof/>
          </w:rPr>
          <w:t>3. Detailed Review</w:t>
        </w:r>
        <w:r w:rsidR="00286D50">
          <w:rPr>
            <w:noProof/>
            <w:webHidden/>
          </w:rPr>
          <w:tab/>
        </w:r>
        <w:r w:rsidR="00286D50">
          <w:rPr>
            <w:noProof/>
            <w:webHidden/>
          </w:rPr>
          <w:fldChar w:fldCharType="begin"/>
        </w:r>
        <w:r w:rsidR="00286D50">
          <w:rPr>
            <w:noProof/>
            <w:webHidden/>
          </w:rPr>
          <w:instrText xml:space="preserve"> PAGEREF _Toc476045338 \h </w:instrText>
        </w:r>
        <w:r w:rsidR="00286D50">
          <w:rPr>
            <w:noProof/>
            <w:webHidden/>
          </w:rPr>
        </w:r>
        <w:r w:rsidR="00286D50">
          <w:rPr>
            <w:noProof/>
            <w:webHidden/>
          </w:rPr>
          <w:fldChar w:fldCharType="separate"/>
        </w:r>
        <w:r w:rsidR="00286D50">
          <w:rPr>
            <w:noProof/>
            <w:webHidden/>
          </w:rPr>
          <w:t>3</w:t>
        </w:r>
        <w:r w:rsidR="00286D50">
          <w:rPr>
            <w:noProof/>
            <w:webHidden/>
          </w:rPr>
          <w:fldChar w:fldCharType="end"/>
        </w:r>
      </w:hyperlink>
    </w:p>
    <w:p w14:paraId="66106156" w14:textId="77777777" w:rsidR="00286D50" w:rsidRDefault="009C72A8">
      <w:pPr>
        <w:pStyle w:val="TOC2"/>
        <w:tabs>
          <w:tab w:val="right" w:leader="dot" w:pos="9350"/>
        </w:tabs>
        <w:rPr>
          <w:rFonts w:asciiTheme="minorHAnsi" w:eastAsiaTheme="minorEastAsia" w:hAnsiTheme="minorHAnsi"/>
          <w:noProof/>
        </w:rPr>
      </w:pPr>
      <w:hyperlink w:anchor="_Toc476045339" w:history="1">
        <w:r w:rsidR="00286D50" w:rsidRPr="003C3AE9">
          <w:rPr>
            <w:rStyle w:val="Hyperlink"/>
            <w:noProof/>
          </w:rPr>
          <w:t>3.1. Assumption regarding market saturation of 2-speed pumps over 1 HP is out of date</w:t>
        </w:r>
        <w:r w:rsidR="00286D50">
          <w:rPr>
            <w:noProof/>
            <w:webHidden/>
          </w:rPr>
          <w:tab/>
        </w:r>
        <w:r w:rsidR="00286D50">
          <w:rPr>
            <w:noProof/>
            <w:webHidden/>
          </w:rPr>
          <w:fldChar w:fldCharType="begin"/>
        </w:r>
        <w:r w:rsidR="00286D50">
          <w:rPr>
            <w:noProof/>
            <w:webHidden/>
          </w:rPr>
          <w:instrText xml:space="preserve"> PAGEREF _Toc476045339 \h </w:instrText>
        </w:r>
        <w:r w:rsidR="00286D50">
          <w:rPr>
            <w:noProof/>
            <w:webHidden/>
          </w:rPr>
        </w:r>
        <w:r w:rsidR="00286D50">
          <w:rPr>
            <w:noProof/>
            <w:webHidden/>
          </w:rPr>
          <w:fldChar w:fldCharType="separate"/>
        </w:r>
        <w:r w:rsidR="00286D50">
          <w:rPr>
            <w:noProof/>
            <w:webHidden/>
          </w:rPr>
          <w:t>3</w:t>
        </w:r>
        <w:r w:rsidR="00286D50">
          <w:rPr>
            <w:noProof/>
            <w:webHidden/>
          </w:rPr>
          <w:fldChar w:fldCharType="end"/>
        </w:r>
      </w:hyperlink>
    </w:p>
    <w:p w14:paraId="1D73132F" w14:textId="77777777" w:rsidR="00286D50" w:rsidRDefault="009C72A8">
      <w:pPr>
        <w:pStyle w:val="TOC2"/>
        <w:tabs>
          <w:tab w:val="right" w:leader="dot" w:pos="9350"/>
        </w:tabs>
        <w:rPr>
          <w:rFonts w:asciiTheme="minorHAnsi" w:eastAsiaTheme="minorEastAsia" w:hAnsiTheme="minorHAnsi"/>
          <w:noProof/>
        </w:rPr>
      </w:pPr>
      <w:hyperlink w:anchor="_Toc476045343" w:history="1">
        <w:r w:rsidR="00286D50" w:rsidRPr="003C3AE9">
          <w:rPr>
            <w:rStyle w:val="Hyperlink"/>
            <w:noProof/>
          </w:rPr>
          <w:t>3.2. PAs have varying energy savings approaches for identical measures</w:t>
        </w:r>
        <w:r w:rsidR="00286D50">
          <w:rPr>
            <w:noProof/>
            <w:webHidden/>
          </w:rPr>
          <w:tab/>
        </w:r>
        <w:r w:rsidR="00286D50">
          <w:rPr>
            <w:noProof/>
            <w:webHidden/>
          </w:rPr>
          <w:fldChar w:fldCharType="begin"/>
        </w:r>
        <w:r w:rsidR="00286D50">
          <w:rPr>
            <w:noProof/>
            <w:webHidden/>
          </w:rPr>
          <w:instrText xml:space="preserve"> PAGEREF _Toc476045343 \h </w:instrText>
        </w:r>
        <w:r w:rsidR="00286D50">
          <w:rPr>
            <w:noProof/>
            <w:webHidden/>
          </w:rPr>
        </w:r>
        <w:r w:rsidR="00286D50">
          <w:rPr>
            <w:noProof/>
            <w:webHidden/>
          </w:rPr>
          <w:fldChar w:fldCharType="separate"/>
        </w:r>
        <w:r w:rsidR="00286D50">
          <w:rPr>
            <w:noProof/>
            <w:webHidden/>
          </w:rPr>
          <w:t>4</w:t>
        </w:r>
        <w:r w:rsidR="00286D50">
          <w:rPr>
            <w:noProof/>
            <w:webHidden/>
          </w:rPr>
          <w:fldChar w:fldCharType="end"/>
        </w:r>
      </w:hyperlink>
    </w:p>
    <w:p w14:paraId="62B3BDFA" w14:textId="77777777" w:rsidR="00286D50" w:rsidRDefault="009C72A8">
      <w:pPr>
        <w:pStyle w:val="TOC2"/>
        <w:tabs>
          <w:tab w:val="right" w:leader="dot" w:pos="9350"/>
        </w:tabs>
        <w:rPr>
          <w:rFonts w:asciiTheme="minorHAnsi" w:eastAsiaTheme="minorEastAsia" w:hAnsiTheme="minorHAnsi"/>
          <w:noProof/>
        </w:rPr>
      </w:pPr>
      <w:hyperlink w:anchor="_Toc476045344" w:history="1">
        <w:r w:rsidR="00286D50" w:rsidRPr="003C3AE9">
          <w:rPr>
            <w:rStyle w:val="Hyperlink"/>
            <w:noProof/>
          </w:rPr>
          <w:t>3.3. Ex ante data submissions have various errors</w:t>
        </w:r>
        <w:r w:rsidR="00286D50">
          <w:rPr>
            <w:noProof/>
            <w:webHidden/>
          </w:rPr>
          <w:tab/>
        </w:r>
        <w:r w:rsidR="00286D50">
          <w:rPr>
            <w:noProof/>
            <w:webHidden/>
          </w:rPr>
          <w:fldChar w:fldCharType="begin"/>
        </w:r>
        <w:r w:rsidR="00286D50">
          <w:rPr>
            <w:noProof/>
            <w:webHidden/>
          </w:rPr>
          <w:instrText xml:space="preserve"> PAGEREF _Toc476045344 \h </w:instrText>
        </w:r>
        <w:r w:rsidR="00286D50">
          <w:rPr>
            <w:noProof/>
            <w:webHidden/>
          </w:rPr>
        </w:r>
        <w:r w:rsidR="00286D50">
          <w:rPr>
            <w:noProof/>
            <w:webHidden/>
          </w:rPr>
          <w:fldChar w:fldCharType="separate"/>
        </w:r>
        <w:r w:rsidR="00286D50">
          <w:rPr>
            <w:noProof/>
            <w:webHidden/>
          </w:rPr>
          <w:t>6</w:t>
        </w:r>
        <w:r w:rsidR="00286D50">
          <w:rPr>
            <w:noProof/>
            <w:webHidden/>
          </w:rPr>
          <w:fldChar w:fldCharType="end"/>
        </w:r>
      </w:hyperlink>
    </w:p>
    <w:p w14:paraId="248BF9BC" w14:textId="77777777" w:rsidR="00286D50" w:rsidRDefault="009C72A8">
      <w:pPr>
        <w:pStyle w:val="TOC2"/>
        <w:tabs>
          <w:tab w:val="right" w:leader="dot" w:pos="9350"/>
        </w:tabs>
        <w:rPr>
          <w:rFonts w:asciiTheme="minorHAnsi" w:eastAsiaTheme="minorEastAsia" w:hAnsiTheme="minorHAnsi"/>
          <w:noProof/>
        </w:rPr>
      </w:pPr>
      <w:hyperlink w:anchor="_Toc476045345" w:history="1">
        <w:r w:rsidR="00286D50" w:rsidRPr="003C3AE9">
          <w:rPr>
            <w:rStyle w:val="Hyperlink"/>
            <w:noProof/>
          </w:rPr>
          <w:t>3.4. Technology costs vary across the state</w:t>
        </w:r>
        <w:r w:rsidR="00286D50">
          <w:rPr>
            <w:noProof/>
            <w:webHidden/>
          </w:rPr>
          <w:tab/>
        </w:r>
        <w:r w:rsidR="00286D50">
          <w:rPr>
            <w:noProof/>
            <w:webHidden/>
          </w:rPr>
          <w:fldChar w:fldCharType="begin"/>
        </w:r>
        <w:r w:rsidR="00286D50">
          <w:rPr>
            <w:noProof/>
            <w:webHidden/>
          </w:rPr>
          <w:instrText xml:space="preserve"> PAGEREF _Toc476045345 \h </w:instrText>
        </w:r>
        <w:r w:rsidR="00286D50">
          <w:rPr>
            <w:noProof/>
            <w:webHidden/>
          </w:rPr>
        </w:r>
        <w:r w:rsidR="00286D50">
          <w:rPr>
            <w:noProof/>
            <w:webHidden/>
          </w:rPr>
          <w:fldChar w:fldCharType="separate"/>
        </w:r>
        <w:r w:rsidR="00286D50">
          <w:rPr>
            <w:noProof/>
            <w:webHidden/>
          </w:rPr>
          <w:t>7</w:t>
        </w:r>
        <w:r w:rsidR="00286D50">
          <w:rPr>
            <w:noProof/>
            <w:webHidden/>
          </w:rPr>
          <w:fldChar w:fldCharType="end"/>
        </w:r>
      </w:hyperlink>
    </w:p>
    <w:p w14:paraId="28F879F0" w14:textId="77777777" w:rsidR="0072213E" w:rsidRDefault="00235ACC" w:rsidP="00235ACC">
      <w:r>
        <w:fldChar w:fldCharType="end"/>
      </w:r>
    </w:p>
    <w:p w14:paraId="5F6AC174" w14:textId="77777777" w:rsidR="0072213E" w:rsidRDefault="0072213E" w:rsidP="0072213E">
      <w:pPr>
        <w:pStyle w:val="Heading1"/>
      </w:pPr>
      <w:r>
        <w:br w:type="page"/>
      </w:r>
    </w:p>
    <w:p w14:paraId="1D8C741B" w14:textId="77777777" w:rsidR="00235ACC" w:rsidRPr="008C7F61" w:rsidRDefault="00235ACC" w:rsidP="00235ACC"/>
    <w:p w14:paraId="304EF80A" w14:textId="77777777" w:rsidR="002A67E5" w:rsidRPr="00C46478" w:rsidRDefault="002A67E5" w:rsidP="005F0289">
      <w:pPr>
        <w:pStyle w:val="Heading1"/>
        <w:numPr>
          <w:ilvl w:val="0"/>
          <w:numId w:val="29"/>
        </w:numPr>
      </w:pPr>
      <w:bookmarkStart w:id="0" w:name="_Toc476045331"/>
      <w:r w:rsidRPr="00C46478">
        <w:t xml:space="preserve">Review </w:t>
      </w:r>
      <w:r w:rsidR="00E12E68" w:rsidRPr="00C46478">
        <w:t>Scope</w:t>
      </w:r>
      <w:bookmarkEnd w:id="0"/>
    </w:p>
    <w:p w14:paraId="608E755E" w14:textId="77777777" w:rsidR="0077631F" w:rsidRPr="00310BA9" w:rsidRDefault="0077631F" w:rsidP="0077631F">
      <w:pPr>
        <w:pStyle w:val="Caption"/>
        <w:keepNext/>
      </w:pPr>
      <w:bookmarkStart w:id="1" w:name="_Ref324175084"/>
      <w:r w:rsidRPr="00310BA9">
        <w:t xml:space="preserve">Table </w:t>
      </w:r>
      <w:fldSimple w:instr=" SEQ Table \* ARABIC ">
        <w:r>
          <w:rPr>
            <w:noProof/>
          </w:rPr>
          <w:t>1</w:t>
        </w:r>
      </w:fldSimple>
      <w:bookmarkEnd w:id="1"/>
      <w:r w:rsidRPr="00310BA9">
        <w:t xml:space="preserve"> </w:t>
      </w:r>
      <w:r>
        <w:t>–</w:t>
      </w:r>
      <w:r w:rsidRPr="00310BA9">
        <w:t xml:space="preserve"> </w:t>
      </w:r>
      <w:r w:rsidR="00CA751B">
        <w:t>Residential Variable Speed Pool Pump</w:t>
      </w:r>
      <w:r>
        <w:t xml:space="preserve"> </w:t>
      </w:r>
      <w:proofErr w:type="spellStart"/>
      <w:r>
        <w:t>Workpapers</w:t>
      </w:r>
      <w:proofErr w:type="spellEnd"/>
    </w:p>
    <w:tbl>
      <w:tblPr>
        <w:tblW w:w="885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587"/>
        <w:gridCol w:w="5011"/>
        <w:gridCol w:w="1267"/>
      </w:tblGrid>
      <w:tr w:rsidR="0077631F" w:rsidRPr="008E6B1C" w14:paraId="18892957" w14:textId="77777777" w:rsidTr="002571E4">
        <w:tc>
          <w:tcPr>
            <w:tcW w:w="1991" w:type="dxa"/>
          </w:tcPr>
          <w:p w14:paraId="543979E7" w14:textId="77777777" w:rsidR="0077631F" w:rsidRDefault="0077631F" w:rsidP="00CE3F66">
            <w:pPr>
              <w:keepNext/>
              <w:spacing w:after="0" w:line="240" w:lineRule="auto"/>
              <w:jc w:val="center"/>
              <w:rPr>
                <w:b/>
              </w:rPr>
            </w:pPr>
          </w:p>
          <w:p w14:paraId="3C067C31" w14:textId="77777777" w:rsidR="0077631F" w:rsidRDefault="0077631F" w:rsidP="00CE3F66">
            <w:pPr>
              <w:keepNext/>
              <w:spacing w:after="0" w:line="240" w:lineRule="auto"/>
              <w:jc w:val="center"/>
              <w:rPr>
                <w:b/>
              </w:rPr>
            </w:pPr>
          </w:p>
          <w:p w14:paraId="5FD74581" w14:textId="77777777" w:rsidR="0077631F" w:rsidRPr="008E6B1C" w:rsidRDefault="0077631F" w:rsidP="00CE3F66">
            <w:pPr>
              <w:keepNext/>
              <w:spacing w:after="0" w:line="240" w:lineRule="auto"/>
              <w:jc w:val="center"/>
              <w:rPr>
                <w:b/>
              </w:rPr>
            </w:pPr>
            <w:proofErr w:type="spellStart"/>
            <w:r w:rsidRPr="008E6B1C">
              <w:rPr>
                <w:b/>
              </w:rPr>
              <w:t>Workpaper</w:t>
            </w:r>
            <w:proofErr w:type="spellEnd"/>
            <w:r w:rsidRPr="008E6B1C">
              <w:rPr>
                <w:b/>
              </w:rPr>
              <w:t xml:space="preserve"> ID</w:t>
            </w:r>
          </w:p>
        </w:tc>
        <w:tc>
          <w:tcPr>
            <w:tcW w:w="587" w:type="dxa"/>
          </w:tcPr>
          <w:p w14:paraId="609260AB" w14:textId="77777777" w:rsidR="0077631F" w:rsidRDefault="0077631F" w:rsidP="00CE3F66">
            <w:pPr>
              <w:keepNext/>
              <w:spacing w:after="0" w:line="240" w:lineRule="auto"/>
              <w:jc w:val="center"/>
              <w:rPr>
                <w:b/>
              </w:rPr>
            </w:pPr>
          </w:p>
          <w:p w14:paraId="6A937528" w14:textId="77777777" w:rsidR="0077631F" w:rsidRDefault="0077631F" w:rsidP="00CE3F66">
            <w:pPr>
              <w:keepNext/>
              <w:spacing w:after="0" w:line="240" w:lineRule="auto"/>
              <w:jc w:val="center"/>
              <w:rPr>
                <w:b/>
              </w:rPr>
            </w:pPr>
          </w:p>
          <w:p w14:paraId="36027518" w14:textId="77777777" w:rsidR="0077631F" w:rsidRPr="008E6B1C" w:rsidRDefault="0077631F" w:rsidP="00CE3F66">
            <w:pPr>
              <w:keepNext/>
              <w:spacing w:after="0" w:line="240" w:lineRule="auto"/>
              <w:jc w:val="center"/>
              <w:rPr>
                <w:b/>
              </w:rPr>
            </w:pPr>
            <w:r>
              <w:rPr>
                <w:b/>
              </w:rPr>
              <w:t>Rev</w:t>
            </w:r>
          </w:p>
        </w:tc>
        <w:tc>
          <w:tcPr>
            <w:tcW w:w="5011" w:type="dxa"/>
          </w:tcPr>
          <w:p w14:paraId="1752F356" w14:textId="77777777" w:rsidR="0077631F" w:rsidRDefault="0077631F" w:rsidP="00CE3F66">
            <w:pPr>
              <w:keepNext/>
              <w:spacing w:after="0" w:line="240" w:lineRule="auto"/>
              <w:jc w:val="center"/>
              <w:rPr>
                <w:b/>
              </w:rPr>
            </w:pPr>
          </w:p>
          <w:p w14:paraId="644DE702" w14:textId="77777777" w:rsidR="0077631F" w:rsidRDefault="0077631F" w:rsidP="00CE3F66">
            <w:pPr>
              <w:keepNext/>
              <w:spacing w:after="0" w:line="240" w:lineRule="auto"/>
              <w:jc w:val="center"/>
              <w:rPr>
                <w:b/>
              </w:rPr>
            </w:pPr>
          </w:p>
          <w:p w14:paraId="1BA41D7B" w14:textId="77777777" w:rsidR="0077631F" w:rsidRPr="008E6B1C" w:rsidRDefault="0077631F" w:rsidP="00CE3F66">
            <w:pPr>
              <w:keepNext/>
              <w:spacing w:after="0" w:line="240" w:lineRule="auto"/>
              <w:jc w:val="center"/>
              <w:rPr>
                <w:b/>
              </w:rPr>
            </w:pPr>
            <w:proofErr w:type="spellStart"/>
            <w:r w:rsidRPr="008E6B1C">
              <w:rPr>
                <w:b/>
              </w:rPr>
              <w:t>Workpaper</w:t>
            </w:r>
            <w:proofErr w:type="spellEnd"/>
            <w:r w:rsidRPr="008E6B1C">
              <w:rPr>
                <w:b/>
              </w:rPr>
              <w:t xml:space="preserve"> Title</w:t>
            </w:r>
          </w:p>
        </w:tc>
        <w:tc>
          <w:tcPr>
            <w:tcW w:w="1267" w:type="dxa"/>
          </w:tcPr>
          <w:p w14:paraId="020BC4CA" w14:textId="77777777" w:rsidR="0077631F" w:rsidRPr="008E6B1C" w:rsidRDefault="0077631F" w:rsidP="00CE3F66">
            <w:pPr>
              <w:keepNext/>
              <w:spacing w:after="0" w:line="240" w:lineRule="auto"/>
              <w:jc w:val="center"/>
              <w:rPr>
                <w:b/>
              </w:rPr>
            </w:pPr>
            <w:r>
              <w:rPr>
                <w:b/>
              </w:rPr>
              <w:t>Official Submittal Date</w:t>
            </w:r>
          </w:p>
        </w:tc>
      </w:tr>
      <w:tr w:rsidR="0077631F" w:rsidRPr="008E6B1C" w14:paraId="5491F252" w14:textId="77777777" w:rsidTr="002571E4">
        <w:tc>
          <w:tcPr>
            <w:tcW w:w="1991" w:type="dxa"/>
            <w:tcBorders>
              <w:right w:val="nil"/>
            </w:tcBorders>
            <w:shd w:val="clear" w:color="auto" w:fill="BFBFBF"/>
          </w:tcPr>
          <w:p w14:paraId="6103ABAC" w14:textId="77777777" w:rsidR="0077631F" w:rsidRPr="008E6B1C" w:rsidRDefault="0077631F" w:rsidP="00CE3F66">
            <w:pPr>
              <w:keepNext/>
              <w:spacing w:after="0" w:line="240" w:lineRule="auto"/>
              <w:rPr>
                <w:b/>
              </w:rPr>
            </w:pPr>
            <w:r w:rsidRPr="008E6B1C">
              <w:rPr>
                <w:b/>
              </w:rPr>
              <w:t>SCE</w:t>
            </w:r>
          </w:p>
        </w:tc>
        <w:tc>
          <w:tcPr>
            <w:tcW w:w="587" w:type="dxa"/>
            <w:tcBorders>
              <w:right w:val="nil"/>
            </w:tcBorders>
            <w:shd w:val="clear" w:color="auto" w:fill="BFBFBF"/>
          </w:tcPr>
          <w:p w14:paraId="64DDD7C0" w14:textId="77777777" w:rsidR="0077631F" w:rsidRPr="008E6B1C" w:rsidRDefault="0077631F" w:rsidP="00CE3F66">
            <w:pPr>
              <w:keepNext/>
              <w:spacing w:after="0" w:line="240" w:lineRule="auto"/>
            </w:pPr>
          </w:p>
        </w:tc>
        <w:tc>
          <w:tcPr>
            <w:tcW w:w="5011" w:type="dxa"/>
            <w:tcBorders>
              <w:left w:val="nil"/>
              <w:right w:val="nil"/>
            </w:tcBorders>
            <w:shd w:val="clear" w:color="auto" w:fill="BFBFBF"/>
          </w:tcPr>
          <w:p w14:paraId="2DAABAAA" w14:textId="77777777" w:rsidR="0077631F" w:rsidRPr="008E6B1C" w:rsidRDefault="0077631F" w:rsidP="00CE3F66">
            <w:pPr>
              <w:keepNext/>
              <w:spacing w:after="0" w:line="240" w:lineRule="auto"/>
            </w:pPr>
          </w:p>
        </w:tc>
        <w:tc>
          <w:tcPr>
            <w:tcW w:w="1267" w:type="dxa"/>
            <w:tcBorders>
              <w:left w:val="nil"/>
            </w:tcBorders>
            <w:shd w:val="clear" w:color="auto" w:fill="BFBFBF"/>
          </w:tcPr>
          <w:p w14:paraId="09C7E467" w14:textId="77777777" w:rsidR="0077631F" w:rsidRPr="008E6B1C" w:rsidRDefault="0077631F" w:rsidP="00CE3F66">
            <w:pPr>
              <w:keepNext/>
              <w:spacing w:after="0" w:line="240" w:lineRule="auto"/>
            </w:pPr>
          </w:p>
        </w:tc>
      </w:tr>
      <w:tr w:rsidR="0077631F" w:rsidRPr="008E6B1C" w14:paraId="0E15C1DE" w14:textId="77777777" w:rsidTr="002571E4">
        <w:tc>
          <w:tcPr>
            <w:tcW w:w="1991" w:type="dxa"/>
          </w:tcPr>
          <w:p w14:paraId="7E0A28C0" w14:textId="77777777" w:rsidR="0077631F" w:rsidRPr="008E6B1C" w:rsidRDefault="0077631F" w:rsidP="00CE3F66">
            <w:pPr>
              <w:keepNext/>
              <w:spacing w:after="0" w:line="240" w:lineRule="auto"/>
            </w:pPr>
            <w:r>
              <w:t>WPSDGEREWP0002</w:t>
            </w:r>
          </w:p>
        </w:tc>
        <w:tc>
          <w:tcPr>
            <w:tcW w:w="587" w:type="dxa"/>
          </w:tcPr>
          <w:p w14:paraId="66CA3C58" w14:textId="77777777" w:rsidR="0077631F" w:rsidRPr="008E6B1C" w:rsidRDefault="0077631F" w:rsidP="00CE3F66">
            <w:pPr>
              <w:keepNext/>
              <w:spacing w:after="0" w:line="240" w:lineRule="auto"/>
              <w:jc w:val="center"/>
            </w:pPr>
            <w:r>
              <w:t>6</w:t>
            </w:r>
          </w:p>
        </w:tc>
        <w:tc>
          <w:tcPr>
            <w:tcW w:w="5011" w:type="dxa"/>
          </w:tcPr>
          <w:p w14:paraId="7779D9B3" w14:textId="77777777" w:rsidR="0077631F" w:rsidRPr="008E6B1C" w:rsidRDefault="0077631F" w:rsidP="00CE3F66">
            <w:pPr>
              <w:keepNext/>
              <w:spacing w:after="0" w:line="240" w:lineRule="auto"/>
            </w:pPr>
            <w:r w:rsidRPr="0077631F">
              <w:rPr>
                <w:rFonts w:cs="Calibri"/>
                <w:color w:val="000000"/>
                <w:sz w:val="23"/>
                <w:szCs w:val="23"/>
                <w:shd w:val="clear" w:color="auto" w:fill="FFFFFF"/>
              </w:rPr>
              <w:t>Residential Variable Speed Swimming Pool Pump</w:t>
            </w:r>
          </w:p>
        </w:tc>
        <w:tc>
          <w:tcPr>
            <w:tcW w:w="1267" w:type="dxa"/>
          </w:tcPr>
          <w:p w14:paraId="18A1B126" w14:textId="77777777" w:rsidR="0077631F" w:rsidRPr="008E6B1C" w:rsidRDefault="0077631F" w:rsidP="00CE3F66">
            <w:pPr>
              <w:keepNext/>
              <w:spacing w:after="0" w:line="240" w:lineRule="auto"/>
              <w:jc w:val="right"/>
            </w:pPr>
            <w:r>
              <w:t>1/1/2017</w:t>
            </w:r>
          </w:p>
        </w:tc>
      </w:tr>
      <w:tr w:rsidR="0077631F" w:rsidRPr="008E6B1C" w14:paraId="0CAE87F7" w14:textId="77777777" w:rsidTr="002571E4">
        <w:tc>
          <w:tcPr>
            <w:tcW w:w="1991" w:type="dxa"/>
          </w:tcPr>
          <w:p w14:paraId="73BB2AED" w14:textId="77777777" w:rsidR="0077631F" w:rsidRPr="008E6B1C" w:rsidRDefault="0077631F" w:rsidP="00CE3F66">
            <w:pPr>
              <w:keepNext/>
              <w:spacing w:after="0" w:line="240" w:lineRule="auto"/>
            </w:pPr>
            <w:r w:rsidRPr="0077631F">
              <w:rPr>
                <w:rFonts w:cs="Calibri"/>
                <w:color w:val="000000"/>
                <w:sz w:val="23"/>
                <w:szCs w:val="23"/>
                <w:shd w:val="clear" w:color="auto" w:fill="FFFFFF"/>
              </w:rPr>
              <w:t>SCE17WP009</w:t>
            </w:r>
          </w:p>
        </w:tc>
        <w:tc>
          <w:tcPr>
            <w:tcW w:w="587" w:type="dxa"/>
          </w:tcPr>
          <w:p w14:paraId="6E6AB8A9" w14:textId="77777777" w:rsidR="0077631F" w:rsidRPr="008E6B1C" w:rsidRDefault="0077631F" w:rsidP="00CE3F66">
            <w:pPr>
              <w:keepNext/>
              <w:spacing w:after="0" w:line="240" w:lineRule="auto"/>
              <w:jc w:val="center"/>
            </w:pPr>
            <w:r>
              <w:t>0</w:t>
            </w:r>
          </w:p>
        </w:tc>
        <w:tc>
          <w:tcPr>
            <w:tcW w:w="5011" w:type="dxa"/>
          </w:tcPr>
          <w:p w14:paraId="0F3B2143" w14:textId="77777777" w:rsidR="0077631F" w:rsidRPr="008E6B1C" w:rsidRDefault="0077631F" w:rsidP="00CE3F66">
            <w:pPr>
              <w:keepNext/>
              <w:spacing w:after="0" w:line="240" w:lineRule="auto"/>
            </w:pPr>
            <w:r w:rsidRPr="00492819">
              <w:rPr>
                <w:rFonts w:cs="Calibri"/>
                <w:color w:val="000000"/>
                <w:sz w:val="23"/>
                <w:szCs w:val="23"/>
                <w:shd w:val="clear" w:color="auto" w:fill="FFFFFF"/>
              </w:rPr>
              <w:t>Residential Variable Speed Spa and Wading Pool Pump</w:t>
            </w:r>
          </w:p>
        </w:tc>
        <w:tc>
          <w:tcPr>
            <w:tcW w:w="1267" w:type="dxa"/>
          </w:tcPr>
          <w:p w14:paraId="6A77B02C" w14:textId="77777777" w:rsidR="0077631F" w:rsidRPr="008E6B1C" w:rsidRDefault="0077631F" w:rsidP="00CE3F66">
            <w:pPr>
              <w:keepNext/>
              <w:spacing w:after="0" w:line="240" w:lineRule="auto"/>
              <w:jc w:val="right"/>
            </w:pPr>
            <w:r>
              <w:t>1/1/2017</w:t>
            </w:r>
          </w:p>
        </w:tc>
      </w:tr>
      <w:tr w:rsidR="006B45E2" w:rsidRPr="008E6B1C" w14:paraId="2E6080B9" w14:textId="77777777" w:rsidTr="002571E4">
        <w:tc>
          <w:tcPr>
            <w:tcW w:w="1991" w:type="dxa"/>
          </w:tcPr>
          <w:p w14:paraId="1EA2CB80" w14:textId="77777777" w:rsidR="006B45E2" w:rsidRPr="0077631F" w:rsidRDefault="00554BE5" w:rsidP="00CE3F66">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SCE17WP001</w:t>
            </w:r>
          </w:p>
        </w:tc>
        <w:tc>
          <w:tcPr>
            <w:tcW w:w="587" w:type="dxa"/>
          </w:tcPr>
          <w:p w14:paraId="6665ACE3" w14:textId="77777777" w:rsidR="006B45E2" w:rsidRDefault="00554BE5" w:rsidP="00CE3F66">
            <w:pPr>
              <w:keepNext/>
              <w:spacing w:after="0" w:line="240" w:lineRule="auto"/>
              <w:jc w:val="center"/>
            </w:pPr>
            <w:r>
              <w:t>3</w:t>
            </w:r>
          </w:p>
        </w:tc>
        <w:tc>
          <w:tcPr>
            <w:tcW w:w="5011" w:type="dxa"/>
          </w:tcPr>
          <w:p w14:paraId="65A673ED" w14:textId="77777777" w:rsidR="006B45E2" w:rsidRPr="0077631F" w:rsidRDefault="00554BE5" w:rsidP="00CE3F66">
            <w:pPr>
              <w:keepNext/>
              <w:spacing w:after="0" w:line="240" w:lineRule="auto"/>
              <w:rPr>
                <w:rFonts w:cs="Calibri"/>
                <w:color w:val="000000"/>
                <w:sz w:val="23"/>
                <w:szCs w:val="23"/>
                <w:shd w:val="clear" w:color="auto" w:fill="FFFFFF"/>
              </w:rPr>
            </w:pPr>
            <w:r w:rsidRPr="00554BE5">
              <w:rPr>
                <w:rFonts w:cs="Calibri"/>
                <w:color w:val="000000"/>
                <w:sz w:val="23"/>
                <w:szCs w:val="23"/>
                <w:shd w:val="clear" w:color="auto" w:fill="FFFFFF"/>
              </w:rPr>
              <w:t>Residential Variable Speed Swimming Pool Pump</w:t>
            </w:r>
          </w:p>
        </w:tc>
        <w:tc>
          <w:tcPr>
            <w:tcW w:w="1267" w:type="dxa"/>
          </w:tcPr>
          <w:p w14:paraId="3DBA47C7" w14:textId="77777777" w:rsidR="006B45E2" w:rsidRDefault="00787105" w:rsidP="007F03B1">
            <w:pPr>
              <w:keepNext/>
              <w:spacing w:after="0" w:line="240" w:lineRule="auto"/>
              <w:jc w:val="right"/>
            </w:pPr>
            <w:r>
              <w:t>4/</w:t>
            </w:r>
            <w:r w:rsidR="007F03B1" w:rsidRPr="007F03B1">
              <w:t>4</w:t>
            </w:r>
            <w:r>
              <w:t>/2016</w:t>
            </w:r>
          </w:p>
        </w:tc>
      </w:tr>
      <w:tr w:rsidR="00554BE5" w:rsidRPr="008E6B1C" w14:paraId="7264AB81" w14:textId="77777777" w:rsidTr="002571E4">
        <w:tc>
          <w:tcPr>
            <w:tcW w:w="1991" w:type="dxa"/>
          </w:tcPr>
          <w:p w14:paraId="47371478" w14:textId="77777777" w:rsidR="00554BE5" w:rsidRDefault="004254DF" w:rsidP="00CE3F66">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PGECOPUM102</w:t>
            </w:r>
          </w:p>
        </w:tc>
        <w:tc>
          <w:tcPr>
            <w:tcW w:w="587" w:type="dxa"/>
          </w:tcPr>
          <w:p w14:paraId="27192293" w14:textId="77777777" w:rsidR="00554BE5" w:rsidRDefault="007F03B1" w:rsidP="00CE3F66">
            <w:pPr>
              <w:keepNext/>
              <w:spacing w:after="0" w:line="240" w:lineRule="auto"/>
              <w:jc w:val="center"/>
            </w:pPr>
            <w:r>
              <w:t>4</w:t>
            </w:r>
          </w:p>
        </w:tc>
        <w:tc>
          <w:tcPr>
            <w:tcW w:w="5011" w:type="dxa"/>
          </w:tcPr>
          <w:p w14:paraId="0A503939" w14:textId="77777777" w:rsidR="00554BE5" w:rsidRPr="00554BE5" w:rsidRDefault="007F03B1" w:rsidP="00CE3F66">
            <w:pPr>
              <w:keepNext/>
              <w:spacing w:after="0" w:line="240" w:lineRule="auto"/>
              <w:rPr>
                <w:rFonts w:cs="Calibri"/>
                <w:color w:val="000000"/>
                <w:sz w:val="23"/>
                <w:szCs w:val="23"/>
                <w:shd w:val="clear" w:color="auto" w:fill="FFFFFF"/>
              </w:rPr>
            </w:pPr>
            <w:r w:rsidRPr="00554BE5">
              <w:rPr>
                <w:rFonts w:cs="Calibri"/>
                <w:color w:val="000000"/>
                <w:sz w:val="23"/>
                <w:szCs w:val="23"/>
                <w:shd w:val="clear" w:color="auto" w:fill="FFFFFF"/>
              </w:rPr>
              <w:t>Residential Variable Speed Swimming Pool Pump</w:t>
            </w:r>
          </w:p>
        </w:tc>
        <w:tc>
          <w:tcPr>
            <w:tcW w:w="1267" w:type="dxa"/>
          </w:tcPr>
          <w:p w14:paraId="42AFEEB0" w14:textId="77777777" w:rsidR="00554BE5" w:rsidRDefault="007F03B1" w:rsidP="00CE3F66">
            <w:pPr>
              <w:keepNext/>
              <w:spacing w:after="0" w:line="240" w:lineRule="auto"/>
              <w:jc w:val="right"/>
            </w:pPr>
            <w:r>
              <w:t>7/12/2012</w:t>
            </w:r>
          </w:p>
        </w:tc>
      </w:tr>
      <w:tr w:rsidR="002571E4" w:rsidRPr="008E6B1C" w14:paraId="1A723EC6" w14:textId="77777777" w:rsidTr="002571E4">
        <w:tc>
          <w:tcPr>
            <w:tcW w:w="1991" w:type="dxa"/>
          </w:tcPr>
          <w:p w14:paraId="1B145E57" w14:textId="77777777" w:rsidR="002571E4" w:rsidRDefault="002571E4" w:rsidP="002571E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PGECOPUM102</w:t>
            </w:r>
          </w:p>
        </w:tc>
        <w:tc>
          <w:tcPr>
            <w:tcW w:w="587" w:type="dxa"/>
          </w:tcPr>
          <w:p w14:paraId="7773E76D" w14:textId="77777777" w:rsidR="002571E4" w:rsidRDefault="002571E4" w:rsidP="002571E4">
            <w:pPr>
              <w:keepNext/>
              <w:spacing w:after="0" w:line="240" w:lineRule="auto"/>
              <w:jc w:val="center"/>
            </w:pPr>
            <w:r>
              <w:t>7</w:t>
            </w:r>
          </w:p>
        </w:tc>
        <w:tc>
          <w:tcPr>
            <w:tcW w:w="5011" w:type="dxa"/>
          </w:tcPr>
          <w:p w14:paraId="348226CD" w14:textId="77777777" w:rsidR="002571E4" w:rsidRPr="00554BE5" w:rsidRDefault="002571E4" w:rsidP="002571E4">
            <w:pPr>
              <w:keepNext/>
              <w:spacing w:after="0" w:line="240" w:lineRule="auto"/>
              <w:rPr>
                <w:rFonts w:cs="Calibri"/>
                <w:color w:val="000000"/>
                <w:sz w:val="23"/>
                <w:szCs w:val="23"/>
                <w:shd w:val="clear" w:color="auto" w:fill="FFFFFF"/>
              </w:rPr>
            </w:pPr>
            <w:r>
              <w:rPr>
                <w:rFonts w:cs="Calibri"/>
                <w:color w:val="000000"/>
                <w:sz w:val="23"/>
                <w:szCs w:val="23"/>
                <w:shd w:val="clear" w:color="auto" w:fill="FFFFFF"/>
              </w:rPr>
              <w:t>Costs only with no description of cost savings</w:t>
            </w:r>
          </w:p>
        </w:tc>
        <w:tc>
          <w:tcPr>
            <w:tcW w:w="1267" w:type="dxa"/>
          </w:tcPr>
          <w:p w14:paraId="00175706" w14:textId="77777777" w:rsidR="002571E4" w:rsidRDefault="002571E4" w:rsidP="002571E4">
            <w:pPr>
              <w:keepNext/>
              <w:spacing w:after="0" w:line="240" w:lineRule="auto"/>
              <w:jc w:val="right"/>
            </w:pPr>
            <w:r>
              <w:t>1/25/2017</w:t>
            </w:r>
          </w:p>
        </w:tc>
      </w:tr>
    </w:tbl>
    <w:p w14:paraId="2BDEF13F" w14:textId="77777777" w:rsidR="00154E04" w:rsidRDefault="00154E04" w:rsidP="002E2F58">
      <w:pPr>
        <w:pStyle w:val="Heading1"/>
      </w:pPr>
      <w:bookmarkStart w:id="2" w:name="_Toc476045332"/>
      <w:r>
        <w:t>Critical Review Issues</w:t>
      </w:r>
      <w:bookmarkEnd w:id="2"/>
    </w:p>
    <w:p w14:paraId="22D9D1AD" w14:textId="77777777" w:rsidR="00235ACC" w:rsidRDefault="00012EC0" w:rsidP="00235ACC">
      <w:pPr>
        <w:pStyle w:val="Heading2"/>
      </w:pPr>
      <w:bookmarkStart w:id="3" w:name="_Toc476045333"/>
      <w:r>
        <w:t xml:space="preserve">Assumption regarding market saturation of 2-speed pumps is </w:t>
      </w:r>
      <w:r w:rsidR="00276B84">
        <w:t>out of date</w:t>
      </w:r>
      <w:bookmarkEnd w:id="3"/>
    </w:p>
    <w:p w14:paraId="194DAEAB" w14:textId="77777777" w:rsidR="00B444A5" w:rsidRPr="00B444A5" w:rsidRDefault="00B444A5" w:rsidP="00B444A5">
      <w:pPr>
        <w:pStyle w:val="Body2"/>
      </w:pPr>
      <w:bookmarkStart w:id="4" w:name="_Toc474921347"/>
      <w:bookmarkStart w:id="5" w:name="_Toc474936386"/>
      <w:bookmarkStart w:id="6" w:name="_Toc474944538"/>
      <w:bookmarkStart w:id="7" w:name="_Toc475021368"/>
      <w:bookmarkStart w:id="8" w:name="_Toc476045334"/>
      <w:bookmarkStart w:id="9" w:name="_Toc474431498"/>
      <w:bookmarkStart w:id="10" w:name="_Toc474431553"/>
      <w:r>
        <w:rPr>
          <w:rStyle w:val="Heading1Char"/>
          <w:b w:val="0"/>
          <w:sz w:val="22"/>
        </w:rPr>
        <w:t xml:space="preserve">Some </w:t>
      </w:r>
      <w:proofErr w:type="spellStart"/>
      <w:r w:rsidRPr="00B444A5">
        <w:rPr>
          <w:rStyle w:val="Heading1Char"/>
          <w:b w:val="0"/>
          <w:bCs w:val="0"/>
          <w:sz w:val="22"/>
          <w:szCs w:val="22"/>
        </w:rPr>
        <w:t>workpaper</w:t>
      </w:r>
      <w:proofErr w:type="spellEnd"/>
      <w:r>
        <w:rPr>
          <w:rStyle w:val="Heading1Char"/>
          <w:b w:val="0"/>
          <w:sz w:val="22"/>
        </w:rPr>
        <w:t xml:space="preserve"> measures assume that most swimming pool </w:t>
      </w:r>
      <w:r w:rsidRPr="007F05CC">
        <w:rPr>
          <w:rStyle w:val="Heading1Char"/>
          <w:b w:val="0"/>
          <w:bCs w:val="0"/>
          <w:sz w:val="22"/>
          <w:szCs w:val="22"/>
        </w:rPr>
        <w:t>pumps</w:t>
      </w:r>
      <w:r>
        <w:rPr>
          <w:rStyle w:val="Heading1Char"/>
          <w:b w:val="0"/>
          <w:sz w:val="22"/>
        </w:rPr>
        <w:t xml:space="preserve"> are single-</w:t>
      </w:r>
      <w:r w:rsidRPr="00012EC0">
        <w:rPr>
          <w:rStyle w:val="Heading1Char"/>
          <w:b w:val="0"/>
          <w:sz w:val="22"/>
        </w:rPr>
        <w:t>speed</w:t>
      </w:r>
      <w:r>
        <w:rPr>
          <w:rStyle w:val="Heading1Char"/>
          <w:b w:val="0"/>
          <w:sz w:val="22"/>
        </w:rPr>
        <w:t xml:space="preserve">.  </w:t>
      </w:r>
      <w:r w:rsidR="00FB6669">
        <w:rPr>
          <w:rStyle w:val="Heading1Char"/>
          <w:b w:val="0"/>
          <w:sz w:val="22"/>
        </w:rPr>
        <w:t>For pumps over 1 HP, t</w:t>
      </w:r>
      <w:r>
        <w:rPr>
          <w:rStyle w:val="Heading1Char"/>
          <w:b w:val="0"/>
          <w:sz w:val="22"/>
        </w:rPr>
        <w:t xml:space="preserve">his assumption is out of date. </w:t>
      </w:r>
      <w:r w:rsidRPr="00D87880">
        <w:rPr>
          <w:rStyle w:val="Heading1Char"/>
          <w:b w:val="0"/>
          <w:sz w:val="22"/>
          <w:highlight w:val="yellow"/>
        </w:rPr>
        <w:t>The code has required 2-speed pump &amp; motor combinations over 1 HP since January 1</w:t>
      </w:r>
      <w:r w:rsidRPr="00D87880">
        <w:rPr>
          <w:rStyle w:val="Heading1Char"/>
          <w:b w:val="0"/>
          <w:sz w:val="22"/>
          <w:highlight w:val="yellow"/>
          <w:vertAlign w:val="superscript"/>
        </w:rPr>
        <w:t>st</w:t>
      </w:r>
      <w:r w:rsidRPr="00D87880">
        <w:rPr>
          <w:rStyle w:val="Heading1Char"/>
          <w:b w:val="0"/>
          <w:sz w:val="22"/>
          <w:highlight w:val="yellow"/>
        </w:rPr>
        <w:t xml:space="preserve"> 2008</w:t>
      </w:r>
      <w:bookmarkEnd w:id="4"/>
      <w:bookmarkEnd w:id="5"/>
      <w:bookmarkEnd w:id="6"/>
      <w:bookmarkEnd w:id="7"/>
      <w:bookmarkEnd w:id="8"/>
      <w:r w:rsidRPr="00D87880">
        <w:rPr>
          <w:rStyle w:val="FootnoteReference"/>
          <w:rFonts w:eastAsiaTheme="majorEastAsia"/>
          <w:bCs/>
          <w:szCs w:val="28"/>
          <w:highlight w:val="yellow"/>
        </w:rPr>
        <w:footnoteReference w:id="1"/>
      </w:r>
      <w:r w:rsidRPr="00D87880">
        <w:rPr>
          <w:rStyle w:val="Heading1Char"/>
          <w:b w:val="0"/>
          <w:sz w:val="22"/>
          <w:highlight w:val="yellow"/>
        </w:rPr>
        <w:t xml:space="preserve">.  </w:t>
      </w:r>
      <w:bookmarkEnd w:id="9"/>
      <w:bookmarkEnd w:id="10"/>
      <w:commentRangeStart w:id="11"/>
      <w:r w:rsidRPr="00D87880">
        <w:rPr>
          <w:rStyle w:val="Heading1Char"/>
          <w:b w:val="0"/>
          <w:sz w:val="22"/>
          <w:highlight w:val="yellow"/>
        </w:rPr>
        <w:t>Except for direct install delivery types</w:t>
      </w:r>
      <w:commentRangeEnd w:id="11"/>
      <w:r w:rsidR="00DC1D0D" w:rsidRPr="00D87880">
        <w:rPr>
          <w:rStyle w:val="CommentReference"/>
          <w:highlight w:val="yellow"/>
        </w:rPr>
        <w:commentReference w:id="11"/>
      </w:r>
      <w:r w:rsidRPr="00D87880">
        <w:rPr>
          <w:rStyle w:val="Heading1Char"/>
          <w:b w:val="0"/>
          <w:sz w:val="22"/>
          <w:highlight w:val="yellow"/>
        </w:rPr>
        <w:t xml:space="preserve">, CPUC staff requires that pre-existing technology be </w:t>
      </w:r>
      <w:r w:rsidR="00FB6669" w:rsidRPr="00D87880">
        <w:rPr>
          <w:rStyle w:val="Heading1Char"/>
          <w:b w:val="0"/>
          <w:sz w:val="22"/>
          <w:highlight w:val="yellow"/>
        </w:rPr>
        <w:t xml:space="preserve">assumed to match </w:t>
      </w:r>
      <w:r w:rsidRPr="00A51B9B">
        <w:rPr>
          <w:rStyle w:val="Heading1Char"/>
          <w:b w:val="0"/>
          <w:sz w:val="22"/>
          <w:highlight w:val="yellow"/>
        </w:rPr>
        <w:t>Title 20 requirements: 2-speed pumps, motors, and controls w</w:t>
      </w:r>
      <w:r w:rsidR="00FB6669" w:rsidRPr="00A51B9B">
        <w:rPr>
          <w:rStyle w:val="Heading1Char"/>
          <w:b w:val="0"/>
          <w:sz w:val="22"/>
          <w:highlight w:val="yellow"/>
        </w:rPr>
        <w:t xml:space="preserve">hich </w:t>
      </w:r>
      <w:r w:rsidRPr="00A51B9B">
        <w:rPr>
          <w:rStyle w:val="Heading1Char"/>
          <w:b w:val="0"/>
          <w:sz w:val="22"/>
          <w:highlight w:val="yellow"/>
        </w:rPr>
        <w:t>default to low speed operation</w:t>
      </w:r>
      <w:r>
        <w:rPr>
          <w:rStyle w:val="Heading1Char"/>
          <w:b w:val="0"/>
          <w:sz w:val="22"/>
        </w:rPr>
        <w:t>.</w:t>
      </w:r>
    </w:p>
    <w:p w14:paraId="5432A146" w14:textId="77777777" w:rsidR="00540BB1" w:rsidRDefault="00B35DA5" w:rsidP="00540BB1">
      <w:pPr>
        <w:pStyle w:val="Heading2"/>
      </w:pPr>
      <w:bookmarkStart w:id="12" w:name="_Toc476045335"/>
      <w:r>
        <w:t>PAs have varying energy savings approaches for identical measures</w:t>
      </w:r>
      <w:bookmarkEnd w:id="12"/>
    </w:p>
    <w:p w14:paraId="3561DB63" w14:textId="77777777" w:rsidR="00540BB1" w:rsidRPr="007F03B1" w:rsidRDefault="00D44E10" w:rsidP="00540BB1">
      <w:pPr>
        <w:pStyle w:val="Body2"/>
      </w:pPr>
      <w:r>
        <w:t>CPUC staff</w:t>
      </w:r>
      <w:r w:rsidR="0030463B">
        <w:t xml:space="preserve"> pre</w:t>
      </w:r>
      <w:r w:rsidR="007F080E">
        <w:t xml:space="preserve">scribes statewide savings based on SCE’s </w:t>
      </w:r>
      <w:r w:rsidR="00121E27">
        <w:t xml:space="preserve">single family </w:t>
      </w:r>
      <w:r w:rsidR="00FB6669">
        <w:t xml:space="preserve">swimming pool pump </w:t>
      </w:r>
      <w:r w:rsidR="007F080E">
        <w:t xml:space="preserve">calculation approach for both single family and multi-family installations.  </w:t>
      </w:r>
      <w:r w:rsidR="00B35DA5">
        <w:t xml:space="preserve">This will replace </w:t>
      </w:r>
      <w:r w:rsidR="00FB6669">
        <w:t xml:space="preserve">four of the </w:t>
      </w:r>
      <w:r w:rsidR="00B35DA5">
        <w:t>calculations approaches currently used by PAs across the state.</w:t>
      </w:r>
    </w:p>
    <w:p w14:paraId="062A4075" w14:textId="77777777" w:rsidR="00235ACC" w:rsidRDefault="00FB56FD" w:rsidP="00F36E26">
      <w:pPr>
        <w:pStyle w:val="Heading2"/>
      </w:pPr>
      <w:bookmarkStart w:id="13" w:name="_Toc476045336"/>
      <w:r>
        <w:t>Ex ante data submissions have various errors</w:t>
      </w:r>
      <w:bookmarkEnd w:id="13"/>
    </w:p>
    <w:p w14:paraId="1DF773AA" w14:textId="77777777" w:rsidR="00250B06" w:rsidRDefault="00E51937" w:rsidP="00235ACC">
      <w:pPr>
        <w:pStyle w:val="Body2"/>
      </w:pPr>
      <w:r>
        <w:t xml:space="preserve">Ex ante data was reviewed for conformance with program descriptions and calculated values described in the existing </w:t>
      </w:r>
      <w:proofErr w:type="spellStart"/>
      <w:r>
        <w:t>workpapers</w:t>
      </w:r>
      <w:proofErr w:type="spellEnd"/>
      <w:r>
        <w:t>.  Several discrepancies were noted, including missing information.</w:t>
      </w:r>
      <w:r w:rsidR="00FB6669">
        <w:t xml:space="preserve">  PAs are directed to update and resubmit their ex ante data.</w:t>
      </w:r>
    </w:p>
    <w:p w14:paraId="391D0C36" w14:textId="77777777" w:rsidR="00656F2F" w:rsidRDefault="006C566C" w:rsidP="00656F2F">
      <w:pPr>
        <w:pStyle w:val="Heading2"/>
      </w:pPr>
      <w:bookmarkStart w:id="14" w:name="_Toc476045337"/>
      <w:r>
        <w:t>Technology costs vary across the state</w:t>
      </w:r>
      <w:bookmarkEnd w:id="14"/>
    </w:p>
    <w:p w14:paraId="2A6A4A16" w14:textId="77777777" w:rsidR="00656F2F" w:rsidRDefault="006C566C" w:rsidP="00656F2F">
      <w:pPr>
        <w:pStyle w:val="Body2"/>
      </w:pPr>
      <w:r>
        <w:t xml:space="preserve">Limited work has been done to determine the material and labor costs to install </w:t>
      </w:r>
      <w:r w:rsidR="00286D50">
        <w:t xml:space="preserve">Title 20 </w:t>
      </w:r>
      <w:r>
        <w:t xml:space="preserve">code compliant pumps and measure case variable speed pumps.  </w:t>
      </w:r>
      <w:r w:rsidR="00286D50">
        <w:t xml:space="preserve">Within the proposed </w:t>
      </w:r>
      <w:proofErr w:type="spellStart"/>
      <w:r w:rsidR="00286D50">
        <w:t>workpapers</w:t>
      </w:r>
      <w:proofErr w:type="spellEnd"/>
      <w:r w:rsidR="00286D50">
        <w:t>, b</w:t>
      </w:r>
      <w:r>
        <w:t>aseline technology costs vary by 200% and measure costs vary 23%.</w:t>
      </w:r>
    </w:p>
    <w:p w14:paraId="4AA8F8FF" w14:textId="77777777" w:rsidR="00E12E68" w:rsidRDefault="00154E04" w:rsidP="002E2F58">
      <w:pPr>
        <w:pStyle w:val="Heading1"/>
      </w:pPr>
      <w:bookmarkStart w:id="15" w:name="_Toc476045338"/>
      <w:r>
        <w:lastRenderedPageBreak/>
        <w:t>Detailed Review</w:t>
      </w:r>
      <w:bookmarkEnd w:id="15"/>
    </w:p>
    <w:p w14:paraId="4F6521A8" w14:textId="77777777" w:rsidR="00580CC6" w:rsidRDefault="00177523" w:rsidP="007121DC">
      <w:pPr>
        <w:pStyle w:val="Heading2"/>
      </w:pPr>
      <w:bookmarkStart w:id="16" w:name="_Toc476045339"/>
      <w:commentRangeStart w:id="17"/>
      <w:r>
        <w:t>Assumption</w:t>
      </w:r>
      <w:commentRangeEnd w:id="17"/>
      <w:r w:rsidR="001843B2">
        <w:rPr>
          <w:rStyle w:val="CommentReference"/>
          <w:rFonts w:eastAsia="Times New Roman"/>
          <w:b w:val="0"/>
          <w:bCs w:val="0"/>
        </w:rPr>
        <w:commentReference w:id="17"/>
      </w:r>
      <w:r>
        <w:t xml:space="preserve"> regarding market saturation of 2-speed pumps </w:t>
      </w:r>
      <w:r w:rsidR="004B536A">
        <w:t xml:space="preserve">over 1 HP </w:t>
      </w:r>
      <w:r>
        <w:t>is out of date</w:t>
      </w:r>
      <w:bookmarkEnd w:id="16"/>
    </w:p>
    <w:p w14:paraId="75C90DC2" w14:textId="77777777" w:rsidR="00D669C5" w:rsidRDefault="005B2DB2" w:rsidP="00235ACC">
      <w:pPr>
        <w:pStyle w:val="Body2"/>
      </w:pPr>
      <w:bookmarkStart w:id="18" w:name="_Toc474936391"/>
      <w:bookmarkStart w:id="19" w:name="_Toc474944543"/>
      <w:bookmarkStart w:id="20" w:name="_Toc475021374"/>
      <w:bookmarkStart w:id="21" w:name="_Toc476045340"/>
      <w:bookmarkStart w:id="22" w:name="_Toc474921353"/>
      <w:r>
        <w:rPr>
          <w:rStyle w:val="Heading1Char"/>
          <w:b w:val="0"/>
          <w:sz w:val="22"/>
        </w:rPr>
        <w:t xml:space="preserve">SCE and SDG&amp;E are implementing a measure </w:t>
      </w:r>
      <w:r w:rsidR="00272826">
        <w:rPr>
          <w:rStyle w:val="Heading1Char"/>
          <w:b w:val="0"/>
          <w:sz w:val="22"/>
        </w:rPr>
        <w:t>named</w:t>
      </w:r>
      <w:r>
        <w:rPr>
          <w:rStyle w:val="Heading1Char"/>
          <w:b w:val="0"/>
          <w:sz w:val="22"/>
        </w:rPr>
        <w:t>, “</w:t>
      </w:r>
      <w:bookmarkEnd w:id="18"/>
      <w:bookmarkEnd w:id="19"/>
      <w:bookmarkEnd w:id="20"/>
      <w:bookmarkEnd w:id="21"/>
      <w:r w:rsidRPr="00051CEC">
        <w:rPr>
          <w:color w:val="000000"/>
          <w:szCs w:val="20"/>
        </w:rPr>
        <w:t xml:space="preserve">Commissioned Variable Speed Drive on Pool Pump Controls replacing </w:t>
      </w:r>
      <w:r w:rsidRPr="0097224C">
        <w:rPr>
          <w:b/>
          <w:color w:val="000000"/>
          <w:szCs w:val="20"/>
          <w:u w:val="single"/>
        </w:rPr>
        <w:t>Two Speed</w:t>
      </w:r>
      <w:r w:rsidRPr="00051CEC">
        <w:rPr>
          <w:color w:val="000000"/>
          <w:szCs w:val="20"/>
        </w:rPr>
        <w:t xml:space="preserve"> Pool Pump</w:t>
      </w:r>
      <w:r>
        <w:rPr>
          <w:color w:val="000000"/>
          <w:szCs w:val="20"/>
        </w:rPr>
        <w:t xml:space="preserve">”.  </w:t>
      </w:r>
      <w:r w:rsidR="00121E27">
        <w:rPr>
          <w:color w:val="000000"/>
          <w:szCs w:val="20"/>
        </w:rPr>
        <w:t>Despite this</w:t>
      </w:r>
      <w:r>
        <w:rPr>
          <w:color w:val="000000"/>
          <w:szCs w:val="20"/>
        </w:rPr>
        <w:t xml:space="preserve"> name, th</w:t>
      </w:r>
      <w:r w:rsidR="00121E27">
        <w:rPr>
          <w:color w:val="000000"/>
          <w:szCs w:val="20"/>
        </w:rPr>
        <w:t>e</w:t>
      </w:r>
      <w:r>
        <w:rPr>
          <w:color w:val="000000"/>
          <w:szCs w:val="20"/>
        </w:rPr>
        <w:t xml:space="preserve"> measure assumes that 95% of the pre-existing pumps are single-speed and 5% are two-speed</w:t>
      </w:r>
      <w:r w:rsidR="00254A14">
        <w:rPr>
          <w:rStyle w:val="FootnoteReference"/>
          <w:color w:val="000000"/>
          <w:szCs w:val="20"/>
        </w:rPr>
        <w:footnoteReference w:id="2"/>
      </w:r>
      <w:r>
        <w:rPr>
          <w:color w:val="000000"/>
          <w:szCs w:val="20"/>
        </w:rPr>
        <w:t xml:space="preserve">.  </w:t>
      </w:r>
      <w:r w:rsidR="00657BCE">
        <w:rPr>
          <w:rStyle w:val="Heading1Char"/>
          <w:b w:val="0"/>
          <w:sz w:val="22"/>
        </w:rPr>
        <w:t xml:space="preserve">This </w:t>
      </w:r>
      <w:r w:rsidR="00254A14">
        <w:rPr>
          <w:rStyle w:val="Heading1Char"/>
          <w:b w:val="0"/>
          <w:sz w:val="22"/>
        </w:rPr>
        <w:t xml:space="preserve">assumption </w:t>
      </w:r>
      <w:r w:rsidR="00657BCE">
        <w:rPr>
          <w:rStyle w:val="Heading1Char"/>
          <w:b w:val="0"/>
          <w:sz w:val="22"/>
        </w:rPr>
        <w:t xml:space="preserve">appears to be a hold-over from the 2010 version of this </w:t>
      </w:r>
      <w:proofErr w:type="spellStart"/>
      <w:r w:rsidR="00657BCE">
        <w:rPr>
          <w:rStyle w:val="Heading1Char"/>
          <w:b w:val="0"/>
          <w:sz w:val="22"/>
        </w:rPr>
        <w:t>workpaper</w:t>
      </w:r>
      <w:proofErr w:type="spellEnd"/>
      <w:r w:rsidR="00657BCE">
        <w:rPr>
          <w:rStyle w:val="Heading1Char"/>
          <w:b w:val="0"/>
          <w:sz w:val="22"/>
        </w:rPr>
        <w:t xml:space="preserve">; however, in that version of the </w:t>
      </w:r>
      <w:proofErr w:type="spellStart"/>
      <w:r w:rsidR="00657BCE">
        <w:rPr>
          <w:rStyle w:val="Heading1Char"/>
          <w:b w:val="0"/>
          <w:sz w:val="22"/>
        </w:rPr>
        <w:t>workpaper</w:t>
      </w:r>
      <w:proofErr w:type="spellEnd"/>
      <w:r w:rsidR="00657BCE">
        <w:rPr>
          <w:rStyle w:val="Heading1Char"/>
          <w:b w:val="0"/>
          <w:sz w:val="22"/>
        </w:rPr>
        <w:t>, this measure was called, “</w:t>
      </w:r>
      <w:r w:rsidR="00657BCE" w:rsidRPr="005A7A3F">
        <w:t>Programmed Variable-Speed Pump Replacing Exist</w:t>
      </w:r>
      <w:r w:rsidR="00657BCE">
        <w:t xml:space="preserve">ing </w:t>
      </w:r>
      <w:r w:rsidR="00657BCE" w:rsidRPr="00254A14">
        <w:rPr>
          <w:b/>
          <w:u w:val="single"/>
        </w:rPr>
        <w:t>Single and Two-Speed</w:t>
      </w:r>
      <w:r w:rsidR="00657BCE">
        <w:t xml:space="preserve"> Pumps.”</w:t>
      </w:r>
      <w:r w:rsidR="00657BCE">
        <w:rPr>
          <w:rStyle w:val="FootnoteReference"/>
        </w:rPr>
        <w:footnoteReference w:id="3"/>
      </w:r>
      <w:r w:rsidR="00657BCE">
        <w:rPr>
          <w:rStyle w:val="Heading1Char"/>
          <w:b w:val="0"/>
          <w:sz w:val="22"/>
        </w:rPr>
        <w:t xml:space="preserve"> </w:t>
      </w:r>
      <w:bookmarkEnd w:id="22"/>
    </w:p>
    <w:p w14:paraId="3D21C29D" w14:textId="77777777" w:rsidR="0097224C" w:rsidRDefault="00CA751B" w:rsidP="00660031">
      <w:pPr>
        <w:pStyle w:val="Body2"/>
        <w:rPr>
          <w:rStyle w:val="Heading1Char"/>
          <w:b w:val="0"/>
          <w:bCs w:val="0"/>
          <w:sz w:val="22"/>
          <w:szCs w:val="22"/>
        </w:rPr>
      </w:pPr>
      <w:bookmarkStart w:id="23" w:name="_Toc474936392"/>
      <w:bookmarkStart w:id="24" w:name="_Toc474944544"/>
      <w:bookmarkStart w:id="25" w:name="_Toc475021375"/>
      <w:bookmarkStart w:id="26" w:name="_Toc476045341"/>
      <w:bookmarkStart w:id="27" w:name="_Toc474431503"/>
      <w:bookmarkStart w:id="28" w:name="_Toc474431558"/>
      <w:bookmarkStart w:id="29" w:name="_Toc474921354"/>
      <w:r w:rsidRPr="001D7863">
        <w:rPr>
          <w:rStyle w:val="Heading1Char"/>
          <w:b w:val="0"/>
          <w:bCs w:val="0"/>
          <w:sz w:val="22"/>
          <w:szCs w:val="22"/>
        </w:rPr>
        <w:t xml:space="preserve">2-speed </w:t>
      </w:r>
      <w:r w:rsidR="00254A14">
        <w:rPr>
          <w:rStyle w:val="Heading1Char"/>
          <w:b w:val="0"/>
          <w:bCs w:val="0"/>
          <w:sz w:val="22"/>
          <w:szCs w:val="22"/>
        </w:rPr>
        <w:t xml:space="preserve">pool pumps have </w:t>
      </w:r>
      <w:r w:rsidRPr="001D7863">
        <w:rPr>
          <w:rStyle w:val="Heading1Char"/>
          <w:b w:val="0"/>
          <w:bCs w:val="0"/>
          <w:sz w:val="22"/>
          <w:szCs w:val="22"/>
        </w:rPr>
        <w:t>been required for 9 years</w:t>
      </w:r>
      <w:r w:rsidR="00254A14">
        <w:rPr>
          <w:rStyle w:val="Heading1Char"/>
          <w:b w:val="0"/>
          <w:bCs w:val="0"/>
          <w:sz w:val="22"/>
          <w:szCs w:val="22"/>
        </w:rPr>
        <w:t xml:space="preserve"> and the effective useful life of this technology is deemed to be 10 years.  Additionally,</w:t>
      </w:r>
      <w:r w:rsidR="00643EBE">
        <w:rPr>
          <w:rStyle w:val="Heading1Char"/>
          <w:b w:val="0"/>
          <w:bCs w:val="0"/>
          <w:sz w:val="22"/>
          <w:szCs w:val="22"/>
        </w:rPr>
        <w:t xml:space="preserve"> </w:t>
      </w:r>
      <w:r w:rsidR="00254A14">
        <w:rPr>
          <w:rStyle w:val="Heading1Char"/>
          <w:b w:val="0"/>
          <w:bCs w:val="0"/>
          <w:sz w:val="22"/>
          <w:szCs w:val="22"/>
        </w:rPr>
        <w:t>s</w:t>
      </w:r>
      <w:r w:rsidR="00643EBE">
        <w:rPr>
          <w:rStyle w:val="Heading1Char"/>
          <w:b w:val="0"/>
          <w:bCs w:val="0"/>
          <w:sz w:val="22"/>
          <w:szCs w:val="22"/>
        </w:rPr>
        <w:t xml:space="preserve">ince </w:t>
      </w:r>
      <w:r w:rsidR="00254A14">
        <w:rPr>
          <w:rStyle w:val="Heading1Char"/>
          <w:b w:val="0"/>
          <w:bCs w:val="0"/>
          <w:sz w:val="22"/>
          <w:szCs w:val="22"/>
        </w:rPr>
        <w:t>t</w:t>
      </w:r>
      <w:r w:rsidR="00643EBE">
        <w:rPr>
          <w:rStyle w:val="Heading1Char"/>
          <w:b w:val="0"/>
          <w:bCs w:val="0"/>
          <w:sz w:val="22"/>
          <w:szCs w:val="22"/>
        </w:rPr>
        <w:t xml:space="preserve">here is another measure called, </w:t>
      </w:r>
      <w:r w:rsidR="00643EBE" w:rsidRPr="00C745C7">
        <w:rPr>
          <w:rStyle w:val="Heading1Char"/>
          <w:b w:val="0"/>
          <w:bCs w:val="0"/>
          <w:sz w:val="22"/>
          <w:szCs w:val="22"/>
          <w:highlight w:val="yellow"/>
        </w:rPr>
        <w:t>“</w:t>
      </w:r>
      <w:bookmarkEnd w:id="23"/>
      <w:bookmarkEnd w:id="24"/>
      <w:bookmarkEnd w:id="25"/>
      <w:bookmarkEnd w:id="26"/>
      <w:r w:rsidR="0097224C" w:rsidRPr="00C745C7">
        <w:rPr>
          <w:color w:val="000000"/>
          <w:szCs w:val="20"/>
          <w:highlight w:val="yellow"/>
        </w:rPr>
        <w:t xml:space="preserve">Commissioned Variable Speed Drive on Pool Pump Controls replacing </w:t>
      </w:r>
      <w:r w:rsidR="0097224C" w:rsidRPr="00C745C7">
        <w:rPr>
          <w:b/>
          <w:color w:val="000000"/>
          <w:szCs w:val="20"/>
          <w:highlight w:val="yellow"/>
          <w:u w:val="single"/>
        </w:rPr>
        <w:t>Single Speed</w:t>
      </w:r>
      <w:r w:rsidR="0097224C" w:rsidRPr="00C745C7">
        <w:rPr>
          <w:color w:val="000000"/>
          <w:szCs w:val="20"/>
          <w:highlight w:val="yellow"/>
        </w:rPr>
        <w:t xml:space="preserve"> Pool Pump”, </w:t>
      </w:r>
      <w:r w:rsidR="00643EBE" w:rsidRPr="00C745C7">
        <w:rPr>
          <w:rStyle w:val="Heading1Char"/>
          <w:b w:val="0"/>
          <w:bCs w:val="0"/>
          <w:sz w:val="22"/>
          <w:szCs w:val="22"/>
          <w:highlight w:val="yellow"/>
        </w:rPr>
        <w:t xml:space="preserve">it seems likely that direct install contractors </w:t>
      </w:r>
      <w:r w:rsidR="0097224C" w:rsidRPr="00C745C7">
        <w:rPr>
          <w:rStyle w:val="Heading1Char"/>
          <w:b w:val="0"/>
          <w:bCs w:val="0"/>
          <w:sz w:val="22"/>
          <w:szCs w:val="22"/>
          <w:highlight w:val="yellow"/>
        </w:rPr>
        <w:t xml:space="preserve">are claiming the Two Speed </w:t>
      </w:r>
      <w:r w:rsidR="00643EBE" w:rsidRPr="00C745C7">
        <w:rPr>
          <w:rStyle w:val="Heading1Char"/>
          <w:b w:val="0"/>
          <w:bCs w:val="0"/>
          <w:sz w:val="22"/>
          <w:szCs w:val="22"/>
          <w:highlight w:val="yellow"/>
        </w:rPr>
        <w:t>measure when they replace two-speed pump</w:t>
      </w:r>
      <w:r w:rsidR="00660031" w:rsidRPr="00C745C7">
        <w:rPr>
          <w:rStyle w:val="Heading1Char"/>
          <w:b w:val="0"/>
          <w:bCs w:val="0"/>
          <w:sz w:val="22"/>
          <w:szCs w:val="22"/>
          <w:highlight w:val="yellow"/>
        </w:rPr>
        <w:t>s.</w:t>
      </w:r>
      <w:r w:rsidR="00660031">
        <w:rPr>
          <w:rStyle w:val="Heading1Char"/>
          <w:b w:val="0"/>
          <w:bCs w:val="0"/>
          <w:sz w:val="22"/>
          <w:szCs w:val="22"/>
        </w:rPr>
        <w:t xml:space="preserve">  </w:t>
      </w:r>
    </w:p>
    <w:bookmarkEnd w:id="27"/>
    <w:bookmarkEnd w:id="28"/>
    <w:bookmarkEnd w:id="29"/>
    <w:p w14:paraId="5333D3AE" w14:textId="77777777" w:rsidR="005E28A8" w:rsidRPr="008F3CE2" w:rsidRDefault="005E28A8" w:rsidP="005E28A8">
      <w:pPr>
        <w:pStyle w:val="Body2"/>
      </w:pPr>
      <w:r>
        <w:rPr>
          <w:b/>
        </w:rPr>
        <w:t>Direction:</w:t>
      </w:r>
      <w:r>
        <w:t xml:space="preserve"> Revise </w:t>
      </w:r>
      <w:proofErr w:type="spellStart"/>
      <w:r>
        <w:t>workpaper</w:t>
      </w:r>
      <w:proofErr w:type="spellEnd"/>
      <w:r>
        <w:t xml:space="preserve"> as follow</w:t>
      </w:r>
      <w:r w:rsidR="00D44E10">
        <w:t>s</w:t>
      </w:r>
      <w:r>
        <w:t>:</w:t>
      </w:r>
    </w:p>
    <w:p w14:paraId="064CA177" w14:textId="77777777" w:rsidR="0097224C" w:rsidRDefault="00660031" w:rsidP="00B35DA5">
      <w:pPr>
        <w:pStyle w:val="Heading3"/>
      </w:pPr>
      <w:r w:rsidRPr="00B35DA5">
        <w:t>Remove single speed pump</w:t>
      </w:r>
      <w:r w:rsidR="00FB3CD9" w:rsidRPr="00B35DA5">
        <w:t xml:space="preserve"> savings</w:t>
      </w:r>
      <w:r w:rsidRPr="00B35DA5">
        <w:t xml:space="preserve"> from the two-speed pump </w:t>
      </w:r>
      <w:r w:rsidR="00FB3CD9" w:rsidRPr="00B35DA5">
        <w:t xml:space="preserve">early retirement (retrofit) </w:t>
      </w:r>
      <w:r w:rsidRPr="00B35DA5">
        <w:t>measure</w:t>
      </w:r>
      <w:r w:rsidR="000B56D4" w:rsidRPr="00B35DA5">
        <w:t xml:space="preserve">: </w:t>
      </w:r>
    </w:p>
    <w:p w14:paraId="44DB113F" w14:textId="77777777" w:rsidR="00660031" w:rsidRPr="00660031" w:rsidRDefault="00247947" w:rsidP="00247947">
      <w:pPr>
        <w:pStyle w:val="Body3"/>
        <w:rPr>
          <w:rFonts w:eastAsiaTheme="majorEastAsia"/>
        </w:rPr>
      </w:pPr>
      <w:bookmarkStart w:id="30" w:name="_Toc474936393"/>
      <w:bookmarkStart w:id="31" w:name="_Toc474944545"/>
      <w:bookmarkStart w:id="32" w:name="_Toc475021376"/>
      <w:bookmarkStart w:id="33" w:name="_Toc476045342"/>
      <w:r>
        <w:rPr>
          <w:rStyle w:val="Heading1Char"/>
          <w:b w:val="0"/>
          <w:bCs w:val="0"/>
          <w:sz w:val="22"/>
          <w:szCs w:val="22"/>
        </w:rPr>
        <w:t>Table 2</w:t>
      </w:r>
      <w:r w:rsidR="00254A14">
        <w:rPr>
          <w:rStyle w:val="Heading1Char"/>
          <w:b w:val="0"/>
          <w:bCs w:val="0"/>
          <w:sz w:val="22"/>
          <w:szCs w:val="22"/>
        </w:rPr>
        <w:t xml:space="preserve"> is </w:t>
      </w:r>
      <w:r w:rsidR="00254A14" w:rsidRPr="00254A14">
        <w:rPr>
          <w:rStyle w:val="Heading1Char"/>
          <w:b w:val="0"/>
          <w:bCs w:val="0"/>
          <w:sz w:val="22"/>
          <w:szCs w:val="22"/>
        </w:rPr>
        <w:t>excerpted</w:t>
      </w:r>
      <w:r w:rsidR="00254A14" w:rsidRPr="00660031">
        <w:rPr>
          <w:rStyle w:val="Heading1Char"/>
          <w:b w:val="0"/>
          <w:sz w:val="22"/>
        </w:rPr>
        <w:t xml:space="preserve"> from page</w:t>
      </w:r>
      <w:r w:rsidR="00254A14">
        <w:rPr>
          <w:rStyle w:val="Heading1Char"/>
          <w:b w:val="0"/>
          <w:sz w:val="22"/>
        </w:rPr>
        <w:t>s</w:t>
      </w:r>
      <w:r w:rsidR="00254A14" w:rsidRPr="00660031">
        <w:rPr>
          <w:rStyle w:val="Heading1Char"/>
          <w:b w:val="0"/>
          <w:sz w:val="22"/>
        </w:rPr>
        <w:t xml:space="preserve"> 30 </w:t>
      </w:r>
      <w:r w:rsidR="00254A14">
        <w:rPr>
          <w:rStyle w:val="Heading1Char"/>
          <w:b w:val="0"/>
          <w:sz w:val="22"/>
        </w:rPr>
        <w:t xml:space="preserve">and 37 </w:t>
      </w:r>
      <w:r w:rsidR="00254A14" w:rsidRPr="00660031">
        <w:rPr>
          <w:rStyle w:val="Heading1Char"/>
          <w:b w:val="0"/>
          <w:sz w:val="22"/>
        </w:rPr>
        <w:t>of SCE17WP001r3</w:t>
      </w:r>
      <w:r w:rsidR="00254A14">
        <w:rPr>
          <w:rStyle w:val="Heading1Char"/>
          <w:b w:val="0"/>
          <w:sz w:val="22"/>
        </w:rPr>
        <w:t xml:space="preserve">.  The Base Case technology </w:t>
      </w:r>
      <w:r w:rsidR="00254A14" w:rsidRPr="00C26629">
        <w:rPr>
          <w:rStyle w:val="Heading1Char"/>
          <w:b w:val="0"/>
          <w:bCs w:val="0"/>
          <w:sz w:val="22"/>
          <w:szCs w:val="22"/>
        </w:rPr>
        <w:t>assumptions</w:t>
      </w:r>
      <w:r w:rsidR="00254A14">
        <w:rPr>
          <w:rStyle w:val="Heading1Char"/>
          <w:b w:val="0"/>
          <w:sz w:val="22"/>
        </w:rPr>
        <w:t xml:space="preserve"> are updated as well </w:t>
      </w:r>
      <w:r w:rsidR="00254A14" w:rsidRPr="00C26629">
        <w:rPr>
          <w:rStyle w:val="Heading1Char"/>
          <w:b w:val="0"/>
          <w:bCs w:val="0"/>
          <w:sz w:val="22"/>
          <w:szCs w:val="22"/>
        </w:rPr>
        <w:t>as</w:t>
      </w:r>
      <w:r w:rsidR="00254A14">
        <w:rPr>
          <w:rStyle w:val="Heading1Char"/>
          <w:b w:val="0"/>
          <w:sz w:val="22"/>
        </w:rPr>
        <w:t xml:space="preserve"> the annual first period, early retirement electrical energy savings and peak demand reduction.  The red highlighting in the table shows changes </w:t>
      </w:r>
      <w:r w:rsidR="00033316">
        <w:rPr>
          <w:rStyle w:val="Heading1Char"/>
          <w:b w:val="0"/>
          <w:sz w:val="22"/>
        </w:rPr>
        <w:t xml:space="preserve">to </w:t>
      </w:r>
      <w:r>
        <w:rPr>
          <w:rStyle w:val="Heading1Char"/>
          <w:b w:val="0"/>
          <w:sz w:val="22"/>
        </w:rPr>
        <w:t xml:space="preserve">the PA </w:t>
      </w:r>
      <w:proofErr w:type="spellStart"/>
      <w:r>
        <w:rPr>
          <w:rStyle w:val="Heading1Char"/>
          <w:b w:val="0"/>
          <w:sz w:val="22"/>
        </w:rPr>
        <w:t>workpaper</w:t>
      </w:r>
      <w:proofErr w:type="spellEnd"/>
      <w:r>
        <w:rPr>
          <w:rStyle w:val="Heading1Char"/>
          <w:b w:val="0"/>
          <w:sz w:val="22"/>
        </w:rPr>
        <w:t xml:space="preserve"> values</w:t>
      </w:r>
      <w:r w:rsidR="00254A14">
        <w:rPr>
          <w:rStyle w:val="Heading1Char"/>
          <w:b w:val="0"/>
          <w:sz w:val="22"/>
        </w:rPr>
        <w:t>.</w:t>
      </w:r>
      <w:bookmarkEnd w:id="30"/>
      <w:bookmarkEnd w:id="31"/>
      <w:bookmarkEnd w:id="32"/>
      <w:bookmarkEnd w:id="33"/>
    </w:p>
    <w:p w14:paraId="23316E83" w14:textId="77777777" w:rsidR="0097224C" w:rsidRPr="00F81B59" w:rsidRDefault="002C04A3" w:rsidP="00254A14">
      <w:pPr>
        <w:pStyle w:val="Caption"/>
      </w:pPr>
      <w:commentRangeStart w:id="34"/>
      <w:r>
        <w:t>Table</w:t>
      </w:r>
      <w:commentRangeEnd w:id="34"/>
      <w:r w:rsidR="005C335B">
        <w:rPr>
          <w:rStyle w:val="CommentReference"/>
          <w:b w:val="0"/>
          <w:bCs w:val="0"/>
          <w:color w:val="auto"/>
        </w:rPr>
        <w:commentReference w:id="34"/>
      </w:r>
      <w:r>
        <w:t xml:space="preserve"> </w:t>
      </w:r>
      <w:r w:rsidR="00254A14">
        <w:t>2</w:t>
      </w:r>
      <w:r>
        <w:t xml:space="preserve">. </w:t>
      </w:r>
      <w:r w:rsidR="0097224C" w:rsidRPr="00F81B59">
        <w:t>Energy Savings</w:t>
      </w:r>
      <w:r w:rsidR="00660031">
        <w:t xml:space="preserve"> </w:t>
      </w:r>
      <w:r w:rsidR="00660031" w:rsidRPr="00F81B59">
        <w:t>and Demand Reduction</w:t>
      </w:r>
      <w:r w:rsidR="0097224C" w:rsidRPr="00F81B59">
        <w:t xml:space="preserve"> for Programmed Variable Speed Pool Pumps</w:t>
      </w:r>
      <w:r w:rsidR="00254A14">
        <w:t>,</w:t>
      </w:r>
      <w:r w:rsidR="00FF2485">
        <w:t xml:space="preserve"> Di</w:t>
      </w:r>
      <w:r w:rsidR="00254A14">
        <w:t>rect Install Delivery Type only</w:t>
      </w:r>
    </w:p>
    <w:tbl>
      <w:tblPr>
        <w:tblStyle w:val="TableGrid1"/>
        <w:tblW w:w="10193" w:type="dxa"/>
        <w:tblInd w:w="-185" w:type="dxa"/>
        <w:tblLayout w:type="fixed"/>
        <w:tblLook w:val="01E0" w:firstRow="1" w:lastRow="1" w:firstColumn="1" w:lastColumn="1" w:noHBand="0" w:noVBand="0"/>
      </w:tblPr>
      <w:tblGrid>
        <w:gridCol w:w="1343"/>
        <w:gridCol w:w="1343"/>
        <w:gridCol w:w="1739"/>
        <w:gridCol w:w="1625"/>
        <w:gridCol w:w="1623"/>
        <w:gridCol w:w="1080"/>
        <w:gridCol w:w="1440"/>
      </w:tblGrid>
      <w:tr w:rsidR="007A77C2" w:rsidRPr="00DC4248" w14:paraId="17611EA8" w14:textId="77777777" w:rsidTr="007A77C2">
        <w:trPr>
          <w:trHeight w:val="478"/>
        </w:trPr>
        <w:tc>
          <w:tcPr>
            <w:tcW w:w="2686" w:type="dxa"/>
            <w:gridSpan w:val="2"/>
            <w:shd w:val="clear" w:color="auto" w:fill="D9D9D9" w:themeFill="background1" w:themeFillShade="D9"/>
          </w:tcPr>
          <w:p w14:paraId="3A695C26" w14:textId="77777777" w:rsidR="007A77C2" w:rsidRPr="00DC4248" w:rsidRDefault="007A77C2" w:rsidP="007A77C2">
            <w:pPr>
              <w:spacing w:after="0"/>
              <w:ind w:right="-90"/>
              <w:jc w:val="center"/>
              <w:rPr>
                <w:rFonts w:cs="Calibri"/>
                <w:b/>
                <w:bCs/>
              </w:rPr>
            </w:pPr>
            <w:r w:rsidRPr="00DC4248">
              <w:rPr>
                <w:rFonts w:cs="Calibri"/>
                <w:b/>
                <w:bCs/>
              </w:rPr>
              <w:t>Measure Code (Implement ID)</w:t>
            </w:r>
          </w:p>
        </w:tc>
        <w:tc>
          <w:tcPr>
            <w:tcW w:w="1739" w:type="dxa"/>
            <w:vMerge w:val="restart"/>
            <w:shd w:val="clear" w:color="auto" w:fill="D9D9D9" w:themeFill="background1" w:themeFillShade="D9"/>
          </w:tcPr>
          <w:p w14:paraId="7700FF5C" w14:textId="77777777" w:rsidR="007A77C2" w:rsidRPr="00DC4248" w:rsidRDefault="007A77C2" w:rsidP="00B35DA5">
            <w:pPr>
              <w:spacing w:after="0"/>
              <w:ind w:right="-90"/>
              <w:jc w:val="center"/>
              <w:rPr>
                <w:rFonts w:cs="Calibri"/>
                <w:b/>
                <w:bCs/>
              </w:rPr>
            </w:pPr>
            <w:r w:rsidRPr="00DC4248">
              <w:rPr>
                <w:rFonts w:cs="Calibri"/>
                <w:b/>
                <w:bCs/>
              </w:rPr>
              <w:t>Base Case</w:t>
            </w:r>
            <w:r>
              <w:rPr>
                <w:rFonts w:cs="Calibri"/>
                <w:b/>
                <w:bCs/>
              </w:rPr>
              <w:t xml:space="preserve"> (</w:t>
            </w:r>
            <w:r w:rsidR="00B35DA5">
              <w:rPr>
                <w:rFonts w:cs="Calibri"/>
                <w:b/>
                <w:bCs/>
              </w:rPr>
              <w:t>1st</w:t>
            </w:r>
            <w:r>
              <w:rPr>
                <w:rFonts w:cs="Calibri"/>
                <w:b/>
                <w:bCs/>
              </w:rPr>
              <w:t xml:space="preserve"> Period pre-existing technology)</w:t>
            </w:r>
          </w:p>
        </w:tc>
        <w:tc>
          <w:tcPr>
            <w:tcW w:w="1625" w:type="dxa"/>
            <w:vMerge w:val="restart"/>
            <w:shd w:val="clear" w:color="auto" w:fill="D9D9D9" w:themeFill="background1" w:themeFillShade="D9"/>
          </w:tcPr>
          <w:p w14:paraId="7C51594A" w14:textId="77777777" w:rsidR="007A77C2" w:rsidRPr="00DC4248" w:rsidRDefault="007A77C2" w:rsidP="007A77C2">
            <w:pPr>
              <w:spacing w:after="0"/>
              <w:ind w:right="-90"/>
              <w:jc w:val="center"/>
              <w:rPr>
                <w:rFonts w:cs="Calibri"/>
                <w:b/>
                <w:bCs/>
              </w:rPr>
            </w:pPr>
            <w:r w:rsidRPr="00DC4248">
              <w:rPr>
                <w:rFonts w:cs="Calibri"/>
                <w:b/>
                <w:bCs/>
              </w:rPr>
              <w:t>Measure Case</w:t>
            </w:r>
          </w:p>
        </w:tc>
        <w:tc>
          <w:tcPr>
            <w:tcW w:w="4143" w:type="dxa"/>
            <w:gridSpan w:val="3"/>
            <w:shd w:val="clear" w:color="auto" w:fill="D9D9D9" w:themeFill="background1" w:themeFillShade="D9"/>
          </w:tcPr>
          <w:p w14:paraId="57DB693D" w14:textId="77777777" w:rsidR="007A77C2" w:rsidRPr="00DC4248" w:rsidRDefault="007A77C2" w:rsidP="007A77C2">
            <w:pPr>
              <w:spacing w:after="0"/>
              <w:ind w:right="-90"/>
              <w:jc w:val="center"/>
              <w:rPr>
                <w:rFonts w:cs="Calibri"/>
                <w:b/>
                <w:bCs/>
              </w:rPr>
            </w:pPr>
            <w:r>
              <w:rPr>
                <w:rFonts w:cs="Calibri"/>
                <w:b/>
                <w:bCs/>
              </w:rPr>
              <w:t>1</w:t>
            </w:r>
            <w:r w:rsidRPr="007A77C2">
              <w:rPr>
                <w:rFonts w:cs="Calibri"/>
                <w:b/>
                <w:bCs/>
                <w:vertAlign w:val="superscript"/>
              </w:rPr>
              <w:t>st</w:t>
            </w:r>
            <w:r>
              <w:rPr>
                <w:rFonts w:cs="Calibri"/>
                <w:b/>
                <w:bCs/>
              </w:rPr>
              <w:t xml:space="preserve"> Period Early Retirement (retrofit) </w:t>
            </w:r>
          </w:p>
        </w:tc>
      </w:tr>
      <w:tr w:rsidR="007A77C2" w:rsidRPr="00DC4248" w14:paraId="3D27DEDE" w14:textId="77777777" w:rsidTr="007A77C2">
        <w:trPr>
          <w:trHeight w:val="478"/>
        </w:trPr>
        <w:tc>
          <w:tcPr>
            <w:tcW w:w="1343" w:type="dxa"/>
            <w:shd w:val="clear" w:color="auto" w:fill="D9D9D9" w:themeFill="background1" w:themeFillShade="D9"/>
          </w:tcPr>
          <w:p w14:paraId="03E1D02D" w14:textId="77777777" w:rsidR="007A77C2" w:rsidRPr="00DC4248" w:rsidRDefault="007A77C2" w:rsidP="007A77C2">
            <w:pPr>
              <w:spacing w:after="0"/>
              <w:ind w:right="-90"/>
              <w:jc w:val="center"/>
              <w:rPr>
                <w:rFonts w:cs="Calibri"/>
                <w:b/>
                <w:bCs/>
              </w:rPr>
            </w:pPr>
            <w:r w:rsidRPr="00DC4248">
              <w:rPr>
                <w:rFonts w:cs="Calibri"/>
                <w:b/>
                <w:bCs/>
              </w:rPr>
              <w:t>SCE</w:t>
            </w:r>
          </w:p>
        </w:tc>
        <w:tc>
          <w:tcPr>
            <w:tcW w:w="1343" w:type="dxa"/>
            <w:shd w:val="clear" w:color="auto" w:fill="D9D9D9" w:themeFill="background1" w:themeFillShade="D9"/>
          </w:tcPr>
          <w:p w14:paraId="08FC0A38" w14:textId="77777777" w:rsidR="007A77C2" w:rsidRPr="00DC4248" w:rsidRDefault="007A77C2" w:rsidP="007A77C2">
            <w:pPr>
              <w:spacing w:after="0"/>
              <w:ind w:right="-90"/>
              <w:jc w:val="center"/>
              <w:rPr>
                <w:rFonts w:cs="Calibri"/>
                <w:b/>
                <w:bCs/>
              </w:rPr>
            </w:pPr>
            <w:r w:rsidRPr="00DC4248">
              <w:rPr>
                <w:rFonts w:cs="Calibri"/>
                <w:b/>
                <w:bCs/>
              </w:rPr>
              <w:t>SDG&amp;E</w:t>
            </w:r>
          </w:p>
        </w:tc>
        <w:tc>
          <w:tcPr>
            <w:tcW w:w="1739" w:type="dxa"/>
            <w:vMerge/>
            <w:shd w:val="clear" w:color="auto" w:fill="D9D9D9" w:themeFill="background1" w:themeFillShade="D9"/>
          </w:tcPr>
          <w:p w14:paraId="4820BED7" w14:textId="77777777" w:rsidR="007A77C2" w:rsidRPr="00DC4248" w:rsidRDefault="007A77C2" w:rsidP="007A77C2">
            <w:pPr>
              <w:spacing w:after="0"/>
              <w:ind w:right="-90"/>
              <w:jc w:val="center"/>
              <w:rPr>
                <w:rFonts w:cs="Calibri"/>
                <w:b/>
                <w:bCs/>
              </w:rPr>
            </w:pPr>
          </w:p>
        </w:tc>
        <w:tc>
          <w:tcPr>
            <w:tcW w:w="1625" w:type="dxa"/>
            <w:vMerge/>
            <w:shd w:val="clear" w:color="auto" w:fill="D9D9D9" w:themeFill="background1" w:themeFillShade="D9"/>
          </w:tcPr>
          <w:p w14:paraId="2B46164C" w14:textId="77777777" w:rsidR="007A77C2" w:rsidRPr="00DC4248" w:rsidRDefault="007A77C2" w:rsidP="007A77C2">
            <w:pPr>
              <w:spacing w:after="0"/>
              <w:ind w:right="-90"/>
              <w:jc w:val="center"/>
              <w:rPr>
                <w:rFonts w:cs="Calibri"/>
                <w:b/>
                <w:bCs/>
              </w:rPr>
            </w:pPr>
          </w:p>
        </w:tc>
        <w:tc>
          <w:tcPr>
            <w:tcW w:w="2703" w:type="dxa"/>
            <w:gridSpan w:val="2"/>
            <w:shd w:val="clear" w:color="auto" w:fill="D9D9D9" w:themeFill="background1" w:themeFillShade="D9"/>
          </w:tcPr>
          <w:p w14:paraId="3AD2336F" w14:textId="77777777" w:rsidR="007A77C2" w:rsidRPr="00DC4248" w:rsidRDefault="007A77C2" w:rsidP="007A77C2">
            <w:pPr>
              <w:spacing w:after="0"/>
              <w:ind w:right="-90"/>
              <w:jc w:val="center"/>
              <w:rPr>
                <w:rFonts w:cs="Calibri"/>
                <w:b/>
                <w:bCs/>
              </w:rPr>
            </w:pPr>
            <w:r w:rsidRPr="00DC4248">
              <w:rPr>
                <w:rFonts w:cs="Calibri"/>
                <w:b/>
                <w:bCs/>
              </w:rPr>
              <w:t>Energy Savings</w:t>
            </w:r>
            <w:r>
              <w:rPr>
                <w:rFonts w:cs="Calibri"/>
                <w:b/>
                <w:bCs/>
              </w:rPr>
              <w:t>, kWh/</w:t>
            </w:r>
            <w:proofErr w:type="spellStart"/>
            <w:r>
              <w:rPr>
                <w:rFonts w:cs="Calibri"/>
                <w:b/>
                <w:bCs/>
              </w:rPr>
              <w:t>yr</w:t>
            </w:r>
            <w:proofErr w:type="spellEnd"/>
          </w:p>
        </w:tc>
        <w:tc>
          <w:tcPr>
            <w:tcW w:w="1440" w:type="dxa"/>
            <w:shd w:val="clear" w:color="auto" w:fill="D9D9D9" w:themeFill="background1" w:themeFillShade="D9"/>
          </w:tcPr>
          <w:p w14:paraId="2D0BEA4A" w14:textId="77777777" w:rsidR="007A77C2" w:rsidRDefault="007A77C2" w:rsidP="007A77C2">
            <w:pPr>
              <w:spacing w:after="0"/>
              <w:ind w:right="-90"/>
              <w:jc w:val="center"/>
              <w:rPr>
                <w:rFonts w:cs="Calibri"/>
                <w:b/>
                <w:bCs/>
              </w:rPr>
            </w:pPr>
            <w:r>
              <w:rPr>
                <w:rFonts w:cs="Calibri"/>
                <w:b/>
                <w:bCs/>
              </w:rPr>
              <w:t>kW Reduction</w:t>
            </w:r>
          </w:p>
        </w:tc>
      </w:tr>
      <w:tr w:rsidR="00DC4248" w:rsidRPr="00DC4248" w14:paraId="4DEA072C" w14:textId="77777777" w:rsidTr="005C7061">
        <w:trPr>
          <w:trHeight w:val="225"/>
        </w:trPr>
        <w:tc>
          <w:tcPr>
            <w:tcW w:w="1343" w:type="dxa"/>
            <w:vMerge w:val="restart"/>
          </w:tcPr>
          <w:p w14:paraId="3D9DB727" w14:textId="77777777" w:rsidR="00DC4248" w:rsidRPr="00DC4248" w:rsidRDefault="00DC4248" w:rsidP="007A77C2">
            <w:pPr>
              <w:pStyle w:val="WPText"/>
              <w:rPr>
                <w:rFonts w:asciiTheme="minorHAnsi" w:hAnsiTheme="minorHAnsi" w:cs="Calibri"/>
                <w:sz w:val="20"/>
                <w:szCs w:val="20"/>
              </w:rPr>
            </w:pPr>
            <w:r w:rsidRPr="00DC4248">
              <w:rPr>
                <w:rFonts w:asciiTheme="minorHAnsi" w:hAnsiTheme="minorHAnsi" w:cs="Calibri"/>
                <w:sz w:val="20"/>
                <w:szCs w:val="20"/>
              </w:rPr>
              <w:t>Measure A (PM-78394)</w:t>
            </w:r>
          </w:p>
        </w:tc>
        <w:tc>
          <w:tcPr>
            <w:tcW w:w="1343" w:type="dxa"/>
            <w:vMerge w:val="restart"/>
          </w:tcPr>
          <w:p w14:paraId="6688181A" w14:textId="77777777" w:rsidR="00DC4248" w:rsidRPr="00DC4248" w:rsidRDefault="00DC4248" w:rsidP="007A77C2">
            <w:pPr>
              <w:spacing w:after="0"/>
              <w:ind w:right="-90"/>
              <w:jc w:val="center"/>
              <w:rPr>
                <w:rFonts w:cs="Calibri"/>
                <w:color w:val="FF0000"/>
              </w:rPr>
            </w:pPr>
            <w:r w:rsidRPr="00DC4248">
              <w:rPr>
                <w:rFonts w:cs="Calibri"/>
              </w:rPr>
              <w:t>Measure 1 (463003)</w:t>
            </w:r>
          </w:p>
        </w:tc>
        <w:tc>
          <w:tcPr>
            <w:tcW w:w="1739" w:type="dxa"/>
            <w:vMerge w:val="restart"/>
          </w:tcPr>
          <w:p w14:paraId="0E117B7C" w14:textId="77777777" w:rsidR="00DC4248" w:rsidRPr="00DC4248" w:rsidRDefault="00DC4248" w:rsidP="007A77C2">
            <w:pPr>
              <w:spacing w:after="0"/>
              <w:ind w:right="-90"/>
              <w:rPr>
                <w:rFonts w:cs="Calibri"/>
              </w:rPr>
            </w:pPr>
            <w:r w:rsidRPr="00DC4248">
              <w:rPr>
                <w:rFonts w:cs="Calibri"/>
                <w:color w:val="FF0000"/>
              </w:rPr>
              <w:t xml:space="preserve">0% </w:t>
            </w:r>
            <w:r w:rsidRPr="00DC4248">
              <w:rPr>
                <w:rFonts w:cs="Calibri"/>
              </w:rPr>
              <w:t xml:space="preserve">single-speed </w:t>
            </w:r>
            <w:r>
              <w:rPr>
                <w:rFonts w:cs="Calibri"/>
              </w:rPr>
              <w:br/>
            </w:r>
            <w:r w:rsidRPr="00DC4248">
              <w:rPr>
                <w:rFonts w:cs="Calibri"/>
                <w:color w:val="FF0000"/>
              </w:rPr>
              <w:t>100%</w:t>
            </w:r>
            <w:r w:rsidRPr="00DC4248">
              <w:rPr>
                <w:rFonts w:cs="Calibri"/>
              </w:rPr>
              <w:t xml:space="preserve"> two-speed </w:t>
            </w:r>
          </w:p>
        </w:tc>
        <w:tc>
          <w:tcPr>
            <w:tcW w:w="1625" w:type="dxa"/>
            <w:vMerge w:val="restart"/>
          </w:tcPr>
          <w:p w14:paraId="4FBAF5F3" w14:textId="77777777" w:rsidR="00DC4248" w:rsidRPr="00DC4248" w:rsidRDefault="00DC4248" w:rsidP="007A77C2">
            <w:pPr>
              <w:spacing w:after="0"/>
              <w:ind w:right="-90"/>
              <w:rPr>
                <w:rFonts w:cs="Calibri"/>
              </w:rPr>
            </w:pPr>
            <w:r w:rsidRPr="00DC4248">
              <w:rPr>
                <w:rFonts w:cs="Calibri"/>
              </w:rPr>
              <w:t>Programmed variable-speed pumps</w:t>
            </w:r>
          </w:p>
        </w:tc>
        <w:tc>
          <w:tcPr>
            <w:tcW w:w="1623" w:type="dxa"/>
          </w:tcPr>
          <w:p w14:paraId="527A4411" w14:textId="77777777" w:rsidR="00DC4248" w:rsidRPr="00DC4248" w:rsidRDefault="00DC4248" w:rsidP="005C7061">
            <w:pPr>
              <w:spacing w:after="0"/>
              <w:ind w:right="-90"/>
              <w:rPr>
                <w:rFonts w:cs="Calibri"/>
              </w:rPr>
            </w:pPr>
            <w:r w:rsidRPr="00DC4248">
              <w:rPr>
                <w:rFonts w:cs="Calibri"/>
              </w:rPr>
              <w:t>Climate zone 15</w:t>
            </w:r>
          </w:p>
        </w:tc>
        <w:tc>
          <w:tcPr>
            <w:tcW w:w="1080" w:type="dxa"/>
          </w:tcPr>
          <w:p w14:paraId="37922362" w14:textId="77777777" w:rsidR="00DC4248" w:rsidRPr="00DC4248" w:rsidRDefault="007A77C2" w:rsidP="007A77C2">
            <w:pPr>
              <w:spacing w:after="0"/>
              <w:ind w:right="-90"/>
              <w:jc w:val="center"/>
              <w:rPr>
                <w:rFonts w:cs="Calibri"/>
                <w:color w:val="FF0000"/>
              </w:rPr>
            </w:pPr>
            <w:r>
              <w:rPr>
                <w:rFonts w:cs="Calibri"/>
                <w:color w:val="FF0000"/>
              </w:rPr>
              <w:t xml:space="preserve">  </w:t>
            </w:r>
            <w:r w:rsidRPr="007A77C2">
              <w:rPr>
                <w:rFonts w:cs="Calibri"/>
                <w:strike/>
              </w:rPr>
              <w:t>1,704</w:t>
            </w:r>
            <w:r w:rsidRPr="007A77C2">
              <w:rPr>
                <w:rFonts w:cs="Calibri"/>
              </w:rPr>
              <w:t xml:space="preserve">  </w:t>
            </w:r>
            <w:r>
              <w:rPr>
                <w:rFonts w:cs="Calibri"/>
              </w:rPr>
              <w:br/>
            </w:r>
            <w:r>
              <w:rPr>
                <w:rFonts w:cs="Calibri"/>
                <w:color w:val="FF0000"/>
              </w:rPr>
              <w:t xml:space="preserve">695 </w:t>
            </w:r>
          </w:p>
        </w:tc>
        <w:tc>
          <w:tcPr>
            <w:tcW w:w="1440" w:type="dxa"/>
            <w:vMerge w:val="restart"/>
            <w:vAlign w:val="center"/>
          </w:tcPr>
          <w:p w14:paraId="7C642CF5" w14:textId="77777777" w:rsidR="007A77C2" w:rsidRPr="007A77C2" w:rsidRDefault="007A77C2" w:rsidP="007A77C2">
            <w:pPr>
              <w:spacing w:after="0"/>
              <w:ind w:right="-90"/>
              <w:jc w:val="center"/>
              <w:rPr>
                <w:rFonts w:ascii="Calibri" w:hAnsi="Calibri" w:cs="Calibri"/>
                <w:strike/>
              </w:rPr>
            </w:pPr>
            <w:r w:rsidRPr="007A77C2">
              <w:rPr>
                <w:rFonts w:ascii="Calibri" w:hAnsi="Calibri" w:cs="Calibri"/>
                <w:strike/>
              </w:rPr>
              <w:t xml:space="preserve">0.530 </w:t>
            </w:r>
          </w:p>
          <w:p w14:paraId="2A1DA259" w14:textId="77777777" w:rsidR="00DC4248" w:rsidRPr="00DC4248" w:rsidRDefault="00DC4248" w:rsidP="007A77C2">
            <w:pPr>
              <w:spacing w:after="0"/>
              <w:ind w:right="-90"/>
              <w:jc w:val="center"/>
              <w:rPr>
                <w:rFonts w:cs="Calibri"/>
                <w:color w:val="FF0000"/>
              </w:rPr>
            </w:pPr>
            <w:r w:rsidRPr="00DC4248">
              <w:rPr>
                <w:rFonts w:ascii="Calibri" w:hAnsi="Calibri" w:cs="Calibri"/>
                <w:color w:val="FF0000"/>
              </w:rPr>
              <w:t>0.</w:t>
            </w:r>
            <w:r w:rsidR="007A77C2">
              <w:rPr>
                <w:rFonts w:ascii="Calibri" w:hAnsi="Calibri" w:cs="Calibri"/>
                <w:color w:val="FF0000"/>
              </w:rPr>
              <w:t>196</w:t>
            </w:r>
          </w:p>
        </w:tc>
      </w:tr>
      <w:tr w:rsidR="00DC4248" w:rsidRPr="00DC4248" w14:paraId="7598622E" w14:textId="77777777" w:rsidTr="007A77C2">
        <w:trPr>
          <w:trHeight w:val="225"/>
        </w:trPr>
        <w:tc>
          <w:tcPr>
            <w:tcW w:w="1343" w:type="dxa"/>
            <w:vMerge/>
            <w:vAlign w:val="bottom"/>
          </w:tcPr>
          <w:p w14:paraId="262210D5" w14:textId="77777777" w:rsidR="00DC4248" w:rsidRPr="00DC4248" w:rsidRDefault="00DC4248" w:rsidP="007A77C2">
            <w:pPr>
              <w:spacing w:after="0"/>
              <w:ind w:right="-90"/>
              <w:rPr>
                <w:rFonts w:cs="Calibri"/>
              </w:rPr>
            </w:pPr>
          </w:p>
        </w:tc>
        <w:tc>
          <w:tcPr>
            <w:tcW w:w="1343" w:type="dxa"/>
            <w:vMerge/>
          </w:tcPr>
          <w:p w14:paraId="03EC79CC" w14:textId="77777777" w:rsidR="00DC4248" w:rsidRPr="00DC4248" w:rsidRDefault="00DC4248" w:rsidP="007A77C2">
            <w:pPr>
              <w:spacing w:after="0"/>
              <w:ind w:right="-90"/>
              <w:jc w:val="center"/>
              <w:rPr>
                <w:rFonts w:cs="Calibri"/>
              </w:rPr>
            </w:pPr>
          </w:p>
        </w:tc>
        <w:tc>
          <w:tcPr>
            <w:tcW w:w="1739" w:type="dxa"/>
            <w:vMerge/>
          </w:tcPr>
          <w:p w14:paraId="2209465A" w14:textId="77777777" w:rsidR="00DC4248" w:rsidRPr="00DC4248" w:rsidRDefault="00DC4248" w:rsidP="007A77C2">
            <w:pPr>
              <w:spacing w:after="0"/>
              <w:ind w:right="-90"/>
              <w:rPr>
                <w:rFonts w:cs="Calibri"/>
              </w:rPr>
            </w:pPr>
          </w:p>
        </w:tc>
        <w:tc>
          <w:tcPr>
            <w:tcW w:w="1625" w:type="dxa"/>
            <w:vMerge/>
          </w:tcPr>
          <w:p w14:paraId="58DCA9DC" w14:textId="77777777" w:rsidR="00DC4248" w:rsidRPr="00DC4248" w:rsidRDefault="00DC4248" w:rsidP="007A77C2">
            <w:pPr>
              <w:spacing w:after="0"/>
              <w:ind w:right="-90"/>
              <w:rPr>
                <w:rFonts w:cs="Calibri"/>
              </w:rPr>
            </w:pPr>
          </w:p>
        </w:tc>
        <w:tc>
          <w:tcPr>
            <w:tcW w:w="1623" w:type="dxa"/>
          </w:tcPr>
          <w:p w14:paraId="246D3B7C" w14:textId="77777777" w:rsidR="00DC4248" w:rsidRPr="00DC4248" w:rsidRDefault="00DC4248" w:rsidP="005C7061">
            <w:pPr>
              <w:spacing w:after="0"/>
              <w:ind w:right="-90"/>
              <w:rPr>
                <w:rFonts w:cs="Calibri"/>
              </w:rPr>
            </w:pPr>
            <w:r w:rsidRPr="00DC4248">
              <w:rPr>
                <w:rFonts w:cs="Calibri"/>
              </w:rPr>
              <w:t>All Other Climate Zones</w:t>
            </w:r>
          </w:p>
        </w:tc>
        <w:tc>
          <w:tcPr>
            <w:tcW w:w="1080" w:type="dxa"/>
          </w:tcPr>
          <w:p w14:paraId="0D8FC05E" w14:textId="77777777" w:rsidR="00DC4248" w:rsidRPr="00DC4248" w:rsidRDefault="007A77C2" w:rsidP="007A77C2">
            <w:pPr>
              <w:spacing w:after="0"/>
              <w:ind w:right="-90"/>
              <w:jc w:val="center"/>
              <w:rPr>
                <w:rFonts w:cs="Calibri"/>
                <w:color w:val="FF0000"/>
              </w:rPr>
            </w:pPr>
            <w:r w:rsidRPr="007A77C2">
              <w:rPr>
                <w:rFonts w:cs="Calibri"/>
                <w:strike/>
              </w:rPr>
              <w:t>1,686</w:t>
            </w:r>
            <w:r w:rsidRPr="007A77C2">
              <w:rPr>
                <w:rFonts w:cs="Calibri"/>
              </w:rPr>
              <w:t xml:space="preserve">  </w:t>
            </w:r>
            <w:r>
              <w:rPr>
                <w:rFonts w:cs="Calibri"/>
              </w:rPr>
              <w:br/>
            </w:r>
            <w:r>
              <w:rPr>
                <w:rFonts w:cs="Calibri"/>
                <w:color w:val="FF0000"/>
              </w:rPr>
              <w:t>677</w:t>
            </w:r>
            <w:r w:rsidR="00DC4248" w:rsidRPr="00DC4248">
              <w:rPr>
                <w:rFonts w:cs="Calibri"/>
                <w:color w:val="FF0000"/>
              </w:rPr>
              <w:t xml:space="preserve"> </w:t>
            </w:r>
          </w:p>
        </w:tc>
        <w:tc>
          <w:tcPr>
            <w:tcW w:w="1440" w:type="dxa"/>
            <w:vMerge/>
          </w:tcPr>
          <w:p w14:paraId="5ED39217" w14:textId="77777777" w:rsidR="00DC4248" w:rsidRPr="00DC4248" w:rsidRDefault="00DC4248" w:rsidP="007A77C2">
            <w:pPr>
              <w:spacing w:after="0"/>
              <w:ind w:right="-90"/>
              <w:jc w:val="center"/>
              <w:rPr>
                <w:rFonts w:cs="Calibri"/>
                <w:color w:val="FF0000"/>
              </w:rPr>
            </w:pPr>
          </w:p>
        </w:tc>
      </w:tr>
      <w:tr w:rsidR="00DC4248" w:rsidRPr="00DC4248" w14:paraId="20220C38" w14:textId="77777777" w:rsidTr="005C7061">
        <w:trPr>
          <w:trHeight w:val="335"/>
        </w:trPr>
        <w:tc>
          <w:tcPr>
            <w:tcW w:w="1343" w:type="dxa"/>
            <w:vMerge w:val="restart"/>
          </w:tcPr>
          <w:p w14:paraId="71FB7924" w14:textId="77777777" w:rsidR="00DC4248" w:rsidRPr="00DC4248" w:rsidRDefault="00DC4248" w:rsidP="005C7061">
            <w:pPr>
              <w:pStyle w:val="Body1"/>
            </w:pPr>
            <w:r w:rsidRPr="00DC4248">
              <w:t>Measure C (PM-69234)</w:t>
            </w:r>
          </w:p>
        </w:tc>
        <w:tc>
          <w:tcPr>
            <w:tcW w:w="1343" w:type="dxa"/>
            <w:vMerge w:val="restart"/>
          </w:tcPr>
          <w:p w14:paraId="576352C9" w14:textId="77777777" w:rsidR="00DC4248" w:rsidRPr="005C7061" w:rsidRDefault="005C7061" w:rsidP="005C7061">
            <w:pPr>
              <w:pStyle w:val="Body1"/>
            </w:pPr>
            <w:r>
              <w:t>None</w:t>
            </w:r>
          </w:p>
        </w:tc>
        <w:tc>
          <w:tcPr>
            <w:tcW w:w="1739" w:type="dxa"/>
            <w:vMerge w:val="restart"/>
          </w:tcPr>
          <w:p w14:paraId="186BDAD7" w14:textId="77777777" w:rsidR="00DC4248" w:rsidRPr="00DC4248" w:rsidRDefault="00DC4248" w:rsidP="005C7061">
            <w:pPr>
              <w:pStyle w:val="Body1"/>
            </w:pPr>
            <w:r w:rsidRPr="00DC4248">
              <w:t xml:space="preserve">100% single-speed </w:t>
            </w:r>
          </w:p>
        </w:tc>
        <w:tc>
          <w:tcPr>
            <w:tcW w:w="1625" w:type="dxa"/>
            <w:vMerge w:val="restart"/>
          </w:tcPr>
          <w:p w14:paraId="7CB71A35" w14:textId="77777777" w:rsidR="00DC4248" w:rsidRPr="00DC4248" w:rsidRDefault="00DC4248" w:rsidP="005C7061">
            <w:pPr>
              <w:pStyle w:val="Body1"/>
            </w:pPr>
            <w:r w:rsidRPr="00DC4248">
              <w:t>Programmed variable-speed pumps</w:t>
            </w:r>
          </w:p>
        </w:tc>
        <w:tc>
          <w:tcPr>
            <w:tcW w:w="1623" w:type="dxa"/>
          </w:tcPr>
          <w:p w14:paraId="177554A0" w14:textId="77777777" w:rsidR="00DC4248" w:rsidRPr="00DC4248" w:rsidRDefault="00DC4248" w:rsidP="005C7061">
            <w:pPr>
              <w:pStyle w:val="Body1"/>
            </w:pPr>
            <w:r w:rsidRPr="00DC4248">
              <w:t>Climate zone 15</w:t>
            </w:r>
          </w:p>
        </w:tc>
        <w:tc>
          <w:tcPr>
            <w:tcW w:w="1080" w:type="dxa"/>
          </w:tcPr>
          <w:p w14:paraId="0B3C2ADC" w14:textId="77777777" w:rsidR="00DC4248" w:rsidRPr="00DC4248" w:rsidRDefault="005C7061" w:rsidP="005C7061">
            <w:pPr>
              <w:pStyle w:val="Body1"/>
            </w:pPr>
            <w:r>
              <w:t xml:space="preserve">     </w:t>
            </w:r>
            <w:r w:rsidR="00DC4248" w:rsidRPr="00DC4248">
              <w:t>1,757</w:t>
            </w:r>
          </w:p>
        </w:tc>
        <w:tc>
          <w:tcPr>
            <w:tcW w:w="1440" w:type="dxa"/>
            <w:vMerge w:val="restart"/>
          </w:tcPr>
          <w:p w14:paraId="1E44FE42" w14:textId="77777777" w:rsidR="005C7061" w:rsidRDefault="005C7061" w:rsidP="007A77C2">
            <w:pPr>
              <w:spacing w:after="0" w:line="240" w:lineRule="auto"/>
              <w:jc w:val="center"/>
              <w:rPr>
                <w:rFonts w:ascii="Calibri" w:hAnsi="Calibri" w:cs="Calibri"/>
                <w:color w:val="000000"/>
              </w:rPr>
            </w:pPr>
          </w:p>
          <w:p w14:paraId="57DAF6A1" w14:textId="77777777" w:rsidR="005C7061" w:rsidRDefault="005C7061" w:rsidP="007A77C2">
            <w:pPr>
              <w:spacing w:after="0" w:line="240" w:lineRule="auto"/>
              <w:jc w:val="center"/>
              <w:rPr>
                <w:rFonts w:ascii="Calibri" w:hAnsi="Calibri" w:cs="Calibri"/>
                <w:color w:val="000000"/>
              </w:rPr>
            </w:pPr>
          </w:p>
          <w:p w14:paraId="0634515D" w14:textId="77777777" w:rsidR="00DC4248" w:rsidRPr="00DC4248" w:rsidRDefault="00DC4248" w:rsidP="007A77C2">
            <w:pPr>
              <w:spacing w:after="0" w:line="240" w:lineRule="auto"/>
              <w:jc w:val="center"/>
              <w:rPr>
                <w:rFonts w:cs="Calibri"/>
                <w:color w:val="000000"/>
              </w:rPr>
            </w:pPr>
            <w:r>
              <w:rPr>
                <w:rFonts w:ascii="Calibri" w:hAnsi="Calibri" w:cs="Calibri"/>
                <w:color w:val="000000"/>
              </w:rPr>
              <w:t xml:space="preserve">0.548 </w:t>
            </w:r>
          </w:p>
        </w:tc>
      </w:tr>
      <w:tr w:rsidR="00DC4248" w:rsidRPr="00DC4248" w14:paraId="052E5DAF" w14:textId="77777777" w:rsidTr="007A77C2">
        <w:trPr>
          <w:trHeight w:val="335"/>
        </w:trPr>
        <w:tc>
          <w:tcPr>
            <w:tcW w:w="1343" w:type="dxa"/>
            <w:vMerge/>
            <w:vAlign w:val="bottom"/>
          </w:tcPr>
          <w:p w14:paraId="553B72FF" w14:textId="77777777" w:rsidR="00DC4248" w:rsidRPr="00DC4248" w:rsidRDefault="00DC4248" w:rsidP="005C7061">
            <w:pPr>
              <w:pStyle w:val="Body1"/>
            </w:pPr>
          </w:p>
        </w:tc>
        <w:tc>
          <w:tcPr>
            <w:tcW w:w="1343" w:type="dxa"/>
            <w:vMerge/>
          </w:tcPr>
          <w:p w14:paraId="64B77262" w14:textId="77777777" w:rsidR="00DC4248" w:rsidRPr="00DC4248" w:rsidRDefault="00DC4248" w:rsidP="005C7061">
            <w:pPr>
              <w:pStyle w:val="Body1"/>
            </w:pPr>
          </w:p>
        </w:tc>
        <w:tc>
          <w:tcPr>
            <w:tcW w:w="1739" w:type="dxa"/>
            <w:vMerge/>
          </w:tcPr>
          <w:p w14:paraId="6CABF9F5" w14:textId="77777777" w:rsidR="00DC4248" w:rsidRPr="00DC4248" w:rsidRDefault="00DC4248" w:rsidP="005C7061">
            <w:pPr>
              <w:pStyle w:val="Body1"/>
            </w:pPr>
          </w:p>
        </w:tc>
        <w:tc>
          <w:tcPr>
            <w:tcW w:w="1625" w:type="dxa"/>
            <w:vMerge/>
          </w:tcPr>
          <w:p w14:paraId="1CA11C79" w14:textId="77777777" w:rsidR="00DC4248" w:rsidRPr="00DC4248" w:rsidRDefault="00DC4248" w:rsidP="005C7061">
            <w:pPr>
              <w:pStyle w:val="Body1"/>
            </w:pPr>
          </w:p>
        </w:tc>
        <w:tc>
          <w:tcPr>
            <w:tcW w:w="1623" w:type="dxa"/>
          </w:tcPr>
          <w:p w14:paraId="6BCE1A28" w14:textId="77777777" w:rsidR="00DC4248" w:rsidRPr="00DC4248" w:rsidRDefault="00DC4248" w:rsidP="005C7061">
            <w:pPr>
              <w:pStyle w:val="Body1"/>
            </w:pPr>
            <w:r w:rsidRPr="00DC4248">
              <w:t>All Other Climate Zones</w:t>
            </w:r>
          </w:p>
        </w:tc>
        <w:tc>
          <w:tcPr>
            <w:tcW w:w="1080" w:type="dxa"/>
          </w:tcPr>
          <w:p w14:paraId="5CCE6651" w14:textId="77777777" w:rsidR="00DC4248" w:rsidRPr="00DC4248" w:rsidRDefault="005C7061" w:rsidP="005C7061">
            <w:pPr>
              <w:pStyle w:val="Body1"/>
            </w:pPr>
            <w:r>
              <w:t xml:space="preserve">     </w:t>
            </w:r>
            <w:r w:rsidR="00DC4248" w:rsidRPr="00DC4248">
              <w:t>1,742</w:t>
            </w:r>
          </w:p>
        </w:tc>
        <w:tc>
          <w:tcPr>
            <w:tcW w:w="1440" w:type="dxa"/>
            <w:vMerge/>
          </w:tcPr>
          <w:p w14:paraId="75381FF1" w14:textId="77777777" w:rsidR="00DC4248" w:rsidRPr="00DC4248" w:rsidRDefault="00DC4248" w:rsidP="005C7061">
            <w:pPr>
              <w:pStyle w:val="Body1"/>
            </w:pPr>
          </w:p>
        </w:tc>
      </w:tr>
    </w:tbl>
    <w:p w14:paraId="5ECCC33C" w14:textId="77777777" w:rsidR="0097224C" w:rsidRDefault="0097224C" w:rsidP="0097224C">
      <w:pPr>
        <w:pStyle w:val="Body2"/>
      </w:pPr>
    </w:p>
    <w:p w14:paraId="706ACBA1" w14:textId="77777777" w:rsidR="00121E27" w:rsidRDefault="00121E27">
      <w:pPr>
        <w:spacing w:after="0" w:line="240" w:lineRule="auto"/>
        <w:rPr>
          <w:rFonts w:eastAsiaTheme="majorEastAsia"/>
          <w:b/>
          <w:bCs/>
          <w:szCs w:val="26"/>
        </w:rPr>
      </w:pPr>
      <w:r>
        <w:br w:type="page"/>
      </w:r>
    </w:p>
    <w:p w14:paraId="4C12E2D6" w14:textId="77777777" w:rsidR="005E28A8" w:rsidRDefault="007F080E" w:rsidP="005E28A8">
      <w:pPr>
        <w:pStyle w:val="Heading2"/>
      </w:pPr>
      <w:bookmarkStart w:id="35" w:name="_Toc476045343"/>
      <w:r>
        <w:lastRenderedPageBreak/>
        <w:t xml:space="preserve">PAs have varying </w:t>
      </w:r>
      <w:r w:rsidR="00B35DA5">
        <w:t xml:space="preserve">energy savings </w:t>
      </w:r>
      <w:r>
        <w:t>approaches for identical measures</w:t>
      </w:r>
      <w:bookmarkEnd w:id="35"/>
      <w:r>
        <w:t xml:space="preserve"> </w:t>
      </w:r>
    </w:p>
    <w:p w14:paraId="0B95159F" w14:textId="77777777" w:rsidR="00FB3CD9" w:rsidRDefault="007F080E" w:rsidP="002C04A3">
      <w:pPr>
        <w:pStyle w:val="Body2"/>
      </w:pPr>
      <w:r>
        <w:t xml:space="preserve">Residential variable speed pool pump measures are offered throughout the state; however, PAs use different calculation approaches and values for their territories.  </w:t>
      </w:r>
      <w:r w:rsidR="00FB3CD9">
        <w:t xml:space="preserve">For example, SCE and SDG&amp;E have </w:t>
      </w:r>
      <w:r w:rsidR="000227FE">
        <w:t xml:space="preserve">3 </w:t>
      </w:r>
      <w:r w:rsidR="00FB3CD9">
        <w:t xml:space="preserve">different calculation approaches for </w:t>
      </w:r>
      <w:r w:rsidR="00121E27">
        <w:t xml:space="preserve">(1) </w:t>
      </w:r>
      <w:r w:rsidR="00FB3CD9">
        <w:t xml:space="preserve">single-family </w:t>
      </w:r>
      <w:r w:rsidR="00121E27">
        <w:t xml:space="preserve">swimming pools, (2) </w:t>
      </w:r>
      <w:r w:rsidR="00FB3CD9">
        <w:t xml:space="preserve">multi-family </w:t>
      </w:r>
      <w:r w:rsidR="000227FE">
        <w:t xml:space="preserve">swimming pools and </w:t>
      </w:r>
      <w:r w:rsidR="00121E27">
        <w:t>(</w:t>
      </w:r>
      <w:r w:rsidR="000227FE">
        <w:t>3</w:t>
      </w:r>
      <w:r w:rsidR="00121E27">
        <w:t>)</w:t>
      </w:r>
      <w:r w:rsidR="000227FE">
        <w:t xml:space="preserve"> wading pools &amp; spas</w:t>
      </w:r>
      <w:r w:rsidR="00FF2485">
        <w:t>.</w:t>
      </w:r>
      <w:r w:rsidR="00FB3CD9">
        <w:t xml:space="preserve"> </w:t>
      </w:r>
      <w:r>
        <w:t>PG&amp;E</w:t>
      </w:r>
      <w:r w:rsidR="00FF2485">
        <w:t>’s</w:t>
      </w:r>
      <w:r>
        <w:t xml:space="preserve"> </w:t>
      </w:r>
      <w:proofErr w:type="spellStart"/>
      <w:r w:rsidR="00FF2485">
        <w:t>workpaper</w:t>
      </w:r>
      <w:proofErr w:type="spellEnd"/>
      <w:r w:rsidR="00FF2485">
        <w:t xml:space="preserve"> offers a</w:t>
      </w:r>
      <w:r w:rsidR="00121E27">
        <w:t xml:space="preserve"> (4)</w:t>
      </w:r>
      <w:r w:rsidR="00FF2485">
        <w:t xml:space="preserve"> calculation approach which </w:t>
      </w:r>
      <w:r w:rsidR="00121E27">
        <w:t xml:space="preserve">is </w:t>
      </w:r>
      <w:r w:rsidR="00FF2485">
        <w:t xml:space="preserve">based on single-family installations; however, their submitted data is applicable to </w:t>
      </w:r>
      <w:r w:rsidR="00FB3CD9">
        <w:t xml:space="preserve">both </w:t>
      </w:r>
      <w:r w:rsidR="00121E27">
        <w:t>single- family and multi-family building types.</w:t>
      </w:r>
      <w:r w:rsidR="00FF2485">
        <w:t xml:space="preserve">  </w:t>
      </w:r>
      <w:r>
        <w:t xml:space="preserve">Most recently, SDG&amp;E submitted a “short form” </w:t>
      </w:r>
      <w:proofErr w:type="spellStart"/>
      <w:r>
        <w:t>workpaper</w:t>
      </w:r>
      <w:proofErr w:type="spellEnd"/>
      <w:r>
        <w:t xml:space="preserve"> which changes</w:t>
      </w:r>
      <w:r w:rsidR="002C04A3">
        <w:t xml:space="preserve"> the measure case energy use</w:t>
      </w:r>
      <w:r>
        <w:t xml:space="preserve"> for SCE’s </w:t>
      </w:r>
      <w:r w:rsidR="002C04A3">
        <w:t xml:space="preserve">downstream </w:t>
      </w:r>
      <w:r>
        <w:t xml:space="preserve">single-family </w:t>
      </w:r>
      <w:r w:rsidR="002C04A3">
        <w:t xml:space="preserve">measure </w:t>
      </w:r>
      <w:r w:rsidR="00FB3CD9">
        <w:t xml:space="preserve">from a calculated approach using </w:t>
      </w:r>
      <w:proofErr w:type="spellStart"/>
      <w:r w:rsidR="00FB3CD9">
        <w:t>InDEE</w:t>
      </w:r>
      <w:proofErr w:type="spellEnd"/>
      <w:r w:rsidR="00FB3CD9">
        <w:t xml:space="preserve"> to adoption of 2016 EM&amp;V results.  This </w:t>
      </w:r>
      <w:r w:rsidR="000227FE">
        <w:t>5</w:t>
      </w:r>
      <w:r w:rsidR="002C04A3" w:rsidRPr="00FB3CD9">
        <w:rPr>
          <w:vertAlign w:val="superscript"/>
        </w:rPr>
        <w:t>th</w:t>
      </w:r>
      <w:r w:rsidR="002C04A3">
        <w:t xml:space="preserve"> calculation approach introduces and “apples-to-oranges” </w:t>
      </w:r>
      <w:r w:rsidR="00B35DA5">
        <w:t>comparison between a calculated baseline energy use and field data for the measure energy use.  Th</w:t>
      </w:r>
      <w:r w:rsidR="00121E27">
        <w:t xml:space="preserve">is level of </w:t>
      </w:r>
      <w:r w:rsidR="002C04A3">
        <w:t>variation sends confusing signals to the consumer market, is difficult to track from an ex-post savings perspective, and is counter to CPUC direction that the PAs collabor</w:t>
      </w:r>
      <w:r w:rsidR="005C7061">
        <w:t>ate to adopt statewide measures</w:t>
      </w:r>
      <w:r w:rsidR="002C04A3">
        <w:t>.</w:t>
      </w:r>
    </w:p>
    <w:p w14:paraId="716B1B1F" w14:textId="77777777" w:rsidR="00CE3F66" w:rsidRDefault="002C04A3" w:rsidP="005E28A8">
      <w:pPr>
        <w:pStyle w:val="Body2"/>
      </w:pPr>
      <w:r>
        <w:t xml:space="preserve">Based on review of PA </w:t>
      </w:r>
      <w:proofErr w:type="spellStart"/>
      <w:r>
        <w:t>workpapers</w:t>
      </w:r>
      <w:proofErr w:type="spellEnd"/>
      <w:r>
        <w:t>, t</w:t>
      </w:r>
      <w:r w:rsidR="00FB3CD9">
        <w:t>he</w:t>
      </w:r>
      <w:r w:rsidR="00CE3F66">
        <w:t>re</w:t>
      </w:r>
      <w:r w:rsidR="00FB3CD9">
        <w:t xml:space="preserve"> </w:t>
      </w:r>
      <w:r w:rsidR="00CE3F66">
        <w:t xml:space="preserve">are </w:t>
      </w:r>
      <w:r w:rsidR="00A3642D">
        <w:t>3</w:t>
      </w:r>
      <w:r w:rsidR="00CE3F66">
        <w:t xml:space="preserve"> </w:t>
      </w:r>
      <w:r w:rsidR="00FB3CD9">
        <w:t>variation</w:t>
      </w:r>
      <w:r w:rsidR="00CE3F66">
        <w:t>s in the</w:t>
      </w:r>
      <w:r w:rsidR="00FB3CD9">
        <w:t xml:space="preserve"> </w:t>
      </w:r>
      <w:r w:rsidR="00CE3F66">
        <w:t xml:space="preserve">offered </w:t>
      </w:r>
      <w:r w:rsidR="00FB3CD9">
        <w:t>measures</w:t>
      </w:r>
      <w:r w:rsidR="00CE3F66">
        <w:t xml:space="preserve">: </w:t>
      </w:r>
      <w:r w:rsidR="00FB3CD9">
        <w:t>delivery type</w:t>
      </w:r>
      <w:r w:rsidR="00A3642D">
        <w:t>,</w:t>
      </w:r>
      <w:r w:rsidR="00121E27">
        <w:t xml:space="preserve"> </w:t>
      </w:r>
      <w:r w:rsidR="000227FE">
        <w:t xml:space="preserve">pool </w:t>
      </w:r>
      <w:r w:rsidR="00121E27">
        <w:t>health code regulations</w:t>
      </w:r>
      <w:r w:rsidR="00A3642D">
        <w:t>, and Title 20 base case pump requirements (for pumps &lt;1 HP).</w:t>
      </w:r>
    </w:p>
    <w:p w14:paraId="34FC7477" w14:textId="77777777" w:rsidR="00B35DA5" w:rsidRDefault="00FB3CD9" w:rsidP="00033316">
      <w:pPr>
        <w:pStyle w:val="Body2"/>
        <w:numPr>
          <w:ilvl w:val="0"/>
          <w:numId w:val="30"/>
        </w:numPr>
      </w:pPr>
      <w:r>
        <w:t xml:space="preserve">SCE’s </w:t>
      </w:r>
      <w:proofErr w:type="spellStart"/>
      <w:r>
        <w:t>workpaper</w:t>
      </w:r>
      <w:proofErr w:type="spellEnd"/>
      <w:r>
        <w:t xml:space="preserve"> describes a contractor direct install program in which the installer is trained to </w:t>
      </w:r>
      <w:r w:rsidR="00E62C01">
        <w:t xml:space="preserve">program the </w:t>
      </w:r>
      <w:r w:rsidR="002C04A3">
        <w:t xml:space="preserve">pool pump controls </w:t>
      </w:r>
      <w:r>
        <w:t>to avoid peak period operation</w:t>
      </w:r>
      <w:r w:rsidR="00B35DA5">
        <w:t xml:space="preserve"> (noon to 6pm)</w:t>
      </w:r>
      <w:r>
        <w:t xml:space="preserve">.  </w:t>
      </w:r>
      <w:r w:rsidR="00121E27">
        <w:t>All other measures are prescriptive downstream rebates.</w:t>
      </w:r>
    </w:p>
    <w:p w14:paraId="540CCAFA" w14:textId="77777777" w:rsidR="00121E27" w:rsidRDefault="00121E27" w:rsidP="00121E27">
      <w:pPr>
        <w:pStyle w:val="Body2"/>
        <w:numPr>
          <w:ilvl w:val="0"/>
          <w:numId w:val="30"/>
        </w:numPr>
        <w:spacing w:after="0"/>
      </w:pPr>
      <w:commentRangeStart w:id="36"/>
      <w:r>
        <w:t>Health</w:t>
      </w:r>
      <w:commentRangeEnd w:id="36"/>
      <w:r w:rsidR="00AE6395">
        <w:rPr>
          <w:rStyle w:val="CommentReference"/>
        </w:rPr>
        <w:commentReference w:id="36"/>
      </w:r>
      <w:r>
        <w:t xml:space="preserve"> code for public pools requires pools in multi-family buildings to have the following water turnover rates:</w:t>
      </w:r>
    </w:p>
    <w:p w14:paraId="09D3B92F" w14:textId="77777777" w:rsidR="00121E27" w:rsidRPr="005C335B" w:rsidRDefault="00121E27" w:rsidP="00121E27">
      <w:pPr>
        <w:pStyle w:val="Body2"/>
        <w:numPr>
          <w:ilvl w:val="1"/>
          <w:numId w:val="30"/>
        </w:numPr>
        <w:spacing w:after="0"/>
        <w:rPr>
          <w:highlight w:val="yellow"/>
        </w:rPr>
      </w:pPr>
      <w:r w:rsidRPr="005C335B">
        <w:rPr>
          <w:highlight w:val="yellow"/>
        </w:rPr>
        <w:t>Swimming pools: 6 hours (4 “turnovers” per day)</w:t>
      </w:r>
    </w:p>
    <w:p w14:paraId="1A73E3D1" w14:textId="77777777" w:rsidR="00121E27" w:rsidRPr="005C335B" w:rsidRDefault="00121E27" w:rsidP="00121E27">
      <w:pPr>
        <w:pStyle w:val="Body2"/>
        <w:numPr>
          <w:ilvl w:val="1"/>
          <w:numId w:val="30"/>
        </w:numPr>
        <w:spacing w:after="0"/>
        <w:rPr>
          <w:highlight w:val="yellow"/>
        </w:rPr>
      </w:pPr>
      <w:r w:rsidRPr="005C335B">
        <w:rPr>
          <w:highlight w:val="yellow"/>
        </w:rPr>
        <w:t>Wading pools: 1 hour (24 per day)</w:t>
      </w:r>
    </w:p>
    <w:p w14:paraId="6AF7950D" w14:textId="77777777" w:rsidR="00121E27" w:rsidRPr="005C335B" w:rsidRDefault="00121E27" w:rsidP="00121E27">
      <w:pPr>
        <w:pStyle w:val="Body2"/>
        <w:numPr>
          <w:ilvl w:val="1"/>
          <w:numId w:val="30"/>
        </w:numPr>
        <w:spacing w:after="0"/>
        <w:rPr>
          <w:highlight w:val="yellow"/>
        </w:rPr>
      </w:pPr>
      <w:r w:rsidRPr="005C335B">
        <w:rPr>
          <w:highlight w:val="yellow"/>
        </w:rPr>
        <w:t>Spas: 0.5 hours (48 per day)</w:t>
      </w:r>
    </w:p>
    <w:p w14:paraId="371E028B" w14:textId="77777777" w:rsidR="000227FE" w:rsidRDefault="00121E27" w:rsidP="000C6EFD">
      <w:pPr>
        <w:pStyle w:val="Body2"/>
        <w:ind w:left="990"/>
      </w:pPr>
      <w:commentRangeStart w:id="37"/>
      <w:r w:rsidRPr="00282F2A">
        <w:rPr>
          <w:highlight w:val="yellow"/>
        </w:rPr>
        <w:t>Compared</w:t>
      </w:r>
      <w:commentRangeEnd w:id="37"/>
      <w:r w:rsidR="002859E2" w:rsidRPr="00282F2A">
        <w:rPr>
          <w:rStyle w:val="CommentReference"/>
          <w:highlight w:val="yellow"/>
        </w:rPr>
        <w:commentReference w:id="37"/>
      </w:r>
      <w:r w:rsidRPr="00282F2A">
        <w:rPr>
          <w:highlight w:val="yellow"/>
        </w:rPr>
        <w:t xml:space="preserve"> with these rates, the </w:t>
      </w:r>
      <w:proofErr w:type="spellStart"/>
      <w:r w:rsidR="00E62C01" w:rsidRPr="00282F2A">
        <w:rPr>
          <w:highlight w:val="yellow"/>
        </w:rPr>
        <w:t>workpapers</w:t>
      </w:r>
      <w:proofErr w:type="spellEnd"/>
      <w:r w:rsidR="00E62C01" w:rsidRPr="00282F2A">
        <w:rPr>
          <w:highlight w:val="yellow"/>
        </w:rPr>
        <w:t xml:space="preserve"> assume that they </w:t>
      </w:r>
      <w:r w:rsidRPr="00282F2A">
        <w:rPr>
          <w:highlight w:val="yellow"/>
        </w:rPr>
        <w:t>typical single family swimming pool has only 1 turnover per day.</w:t>
      </w:r>
      <w:r w:rsidR="00CE3F66">
        <w:t xml:space="preserve"> </w:t>
      </w:r>
    </w:p>
    <w:p w14:paraId="15545ADA" w14:textId="77777777" w:rsidR="00A3642D" w:rsidRDefault="00A3642D" w:rsidP="00A3642D">
      <w:pPr>
        <w:pStyle w:val="Body2"/>
        <w:numPr>
          <w:ilvl w:val="0"/>
          <w:numId w:val="30"/>
        </w:numPr>
        <w:spacing w:after="0"/>
      </w:pPr>
      <w:r>
        <w:t xml:space="preserve">Pumps less than 1 HP are not governed by Title 20 requirements regarding 2-speed controls.  </w:t>
      </w:r>
      <w:r w:rsidR="00C276EA">
        <w:t>However, t</w:t>
      </w:r>
      <w:r>
        <w:t>he 2006-2008 SCE pool database show</w:t>
      </w:r>
      <w:r w:rsidR="00402EB1">
        <w:t xml:space="preserve"> that less than 2% of single family pool pumps used for filtering are less than 1 HP</w:t>
      </w:r>
      <w:r w:rsidR="00C276EA">
        <w:t xml:space="preserve"> and meet the </w:t>
      </w:r>
      <w:proofErr w:type="spellStart"/>
      <w:r w:rsidR="00C276EA">
        <w:t>workpaper</w:t>
      </w:r>
      <w:proofErr w:type="spellEnd"/>
      <w:r w:rsidR="00C276EA">
        <w:t xml:space="preserve"> assumptions for 1.0 daily water “turnover”</w:t>
      </w:r>
      <w:r w:rsidRPr="00402EB1">
        <w:rPr>
          <w:rStyle w:val="FootnoteReference"/>
        </w:rPr>
        <w:footnoteReference w:id="4"/>
      </w:r>
      <w:r w:rsidR="00E62C01">
        <w:t>.</w:t>
      </w:r>
      <w:r w:rsidRPr="00402EB1">
        <w:t xml:space="preserve"> </w:t>
      </w:r>
    </w:p>
    <w:p w14:paraId="602E1431" w14:textId="77777777" w:rsidR="00C276EA" w:rsidRDefault="00C276EA" w:rsidP="00FB3CD9">
      <w:pPr>
        <w:pStyle w:val="Body2"/>
        <w:rPr>
          <w:b/>
        </w:rPr>
      </w:pPr>
    </w:p>
    <w:p w14:paraId="62C98213" w14:textId="77777777" w:rsidR="00C276EA" w:rsidRDefault="00C276EA" w:rsidP="00FB3CD9">
      <w:pPr>
        <w:pStyle w:val="Body2"/>
        <w:rPr>
          <w:b/>
        </w:rPr>
      </w:pPr>
      <w:r>
        <w:rPr>
          <w:b/>
        </w:rPr>
        <w:br w:type="page"/>
      </w:r>
    </w:p>
    <w:p w14:paraId="679010C8" w14:textId="77777777" w:rsidR="00FB3CD9" w:rsidRPr="008F3CE2" w:rsidRDefault="00FB3CD9" w:rsidP="00FB3CD9">
      <w:pPr>
        <w:pStyle w:val="Body2"/>
      </w:pPr>
      <w:r>
        <w:rPr>
          <w:b/>
        </w:rPr>
        <w:lastRenderedPageBreak/>
        <w:t>Direction:</w:t>
      </w:r>
      <w:r>
        <w:t xml:space="preserve"> </w:t>
      </w:r>
      <w:r w:rsidR="00D44E10">
        <w:t xml:space="preserve">Create a single statewide </w:t>
      </w:r>
      <w:proofErr w:type="spellStart"/>
      <w:r w:rsidR="00D44E10">
        <w:t>workpaper</w:t>
      </w:r>
      <w:proofErr w:type="spellEnd"/>
      <w:r w:rsidR="00D44E10">
        <w:t xml:space="preserve">.  Designate a Lead PA and </w:t>
      </w:r>
      <w:r w:rsidR="00C276EA">
        <w:t xml:space="preserve">then </w:t>
      </w:r>
      <w:r w:rsidR="00D44E10">
        <w:t>r</w:t>
      </w:r>
      <w:r>
        <w:t xml:space="preserve">evise </w:t>
      </w:r>
      <w:r w:rsidR="00D44E10">
        <w:t xml:space="preserve">the </w:t>
      </w:r>
      <w:proofErr w:type="spellStart"/>
      <w:r w:rsidR="00D44E10">
        <w:t>workpaper</w:t>
      </w:r>
      <w:proofErr w:type="spellEnd"/>
      <w:r>
        <w:t xml:space="preserve"> as follow</w:t>
      </w:r>
      <w:r w:rsidR="00D44E10">
        <w:t>s</w:t>
      </w:r>
      <w:r>
        <w:t>:</w:t>
      </w:r>
    </w:p>
    <w:p w14:paraId="1CE0A87E" w14:textId="77777777" w:rsidR="00B35DA5" w:rsidRPr="00B35DA5" w:rsidRDefault="00EB65AE" w:rsidP="00B35DA5">
      <w:pPr>
        <w:pStyle w:val="Heading3"/>
      </w:pPr>
      <w:r w:rsidRPr="00B35DA5">
        <w:t>Direct Install programs may continue to claim early retirement savings</w:t>
      </w:r>
      <w:r w:rsidR="00FB3CD9" w:rsidRPr="00B35DA5">
        <w:t xml:space="preserve">: </w:t>
      </w:r>
    </w:p>
    <w:p w14:paraId="71ACA976" w14:textId="77777777" w:rsidR="005C7061" w:rsidRPr="00F26C60" w:rsidRDefault="00FB3CD9" w:rsidP="002675AE">
      <w:pPr>
        <w:pStyle w:val="Body3"/>
      </w:pPr>
      <w:r>
        <w:t xml:space="preserve">“Commissioned” measures may claim </w:t>
      </w:r>
      <w:r w:rsidR="001D510E">
        <w:t xml:space="preserve">first period </w:t>
      </w:r>
      <w:r>
        <w:t>early re</w:t>
      </w:r>
      <w:r w:rsidR="002C04A3">
        <w:t>tirement</w:t>
      </w:r>
      <w:r>
        <w:t xml:space="preserve"> </w:t>
      </w:r>
      <w:r w:rsidR="001D510E">
        <w:t xml:space="preserve">savings noted in Table 2 as well as the </w:t>
      </w:r>
      <w:r w:rsidR="00EB65AE">
        <w:t>2</w:t>
      </w:r>
      <w:r w:rsidR="00EB65AE" w:rsidRPr="00EB65AE">
        <w:rPr>
          <w:vertAlign w:val="superscript"/>
        </w:rPr>
        <w:t>nd</w:t>
      </w:r>
      <w:r w:rsidR="00EB65AE">
        <w:t xml:space="preserve"> period</w:t>
      </w:r>
      <w:r w:rsidR="001D510E">
        <w:t xml:space="preserve"> savings shown in </w:t>
      </w:r>
      <w:r w:rsidR="001D510E" w:rsidRPr="00EB65AE">
        <w:t>SCE17WP001r3</w:t>
      </w:r>
      <w:r w:rsidR="00F26C60">
        <w:t>, measures A and C</w:t>
      </w:r>
      <w:r w:rsidR="00EB65AE">
        <w:t xml:space="preserve">.  These direct install programs </w:t>
      </w:r>
      <w:r w:rsidR="00EB65AE" w:rsidRPr="000B5EBE">
        <w:t>shall</w:t>
      </w:r>
      <w:r w:rsidR="00EB65AE">
        <w:t xml:space="preserve"> continue to </w:t>
      </w:r>
      <w:r w:rsidR="00EB65AE" w:rsidRPr="00F26C60">
        <w:t>perform the training described in SCE17WP001r3, Section 1.3 Installation Types and Delivery Mechanism.</w:t>
      </w:r>
      <w:r w:rsidR="00B35DA5" w:rsidRPr="00F26C60">
        <w:t xml:space="preserve">  </w:t>
      </w:r>
      <w:r w:rsidR="005C7061" w:rsidRPr="00F26C60">
        <w:t xml:space="preserve">Additionally, to claim early retirement, the statewide </w:t>
      </w:r>
      <w:proofErr w:type="spellStart"/>
      <w:r w:rsidR="005C7061" w:rsidRPr="00F26C60">
        <w:t>workpaper</w:t>
      </w:r>
      <w:proofErr w:type="spellEnd"/>
      <w:r w:rsidR="005C7061" w:rsidRPr="00F26C60">
        <w:t xml:space="preserve"> shall include at least the following documentation </w:t>
      </w:r>
      <w:r w:rsidR="00F6701D" w:rsidRPr="00F26C60">
        <w:t xml:space="preserve">requirements </w:t>
      </w:r>
      <w:r w:rsidR="005C7061" w:rsidRPr="00F26C60">
        <w:t xml:space="preserve">as preponderance of evidence: </w:t>
      </w:r>
    </w:p>
    <w:p w14:paraId="07EDFCD8" w14:textId="77777777" w:rsidR="005C7061" w:rsidRPr="003F65F0" w:rsidRDefault="00F6701D" w:rsidP="002675AE">
      <w:pPr>
        <w:pStyle w:val="Body3"/>
        <w:numPr>
          <w:ilvl w:val="0"/>
          <w:numId w:val="35"/>
        </w:numPr>
        <w:rPr>
          <w:highlight w:val="yellow"/>
        </w:rPr>
      </w:pPr>
      <w:r w:rsidRPr="003F65F0">
        <w:rPr>
          <w:highlight w:val="yellow"/>
        </w:rPr>
        <w:t>Pump manufacturer, model number, and rated horsepower</w:t>
      </w:r>
    </w:p>
    <w:p w14:paraId="5009B060" w14:textId="77777777" w:rsidR="00E62C01" w:rsidRPr="00F26C60" w:rsidRDefault="00E62C01" w:rsidP="00247947">
      <w:pPr>
        <w:pStyle w:val="Body3"/>
        <w:numPr>
          <w:ilvl w:val="0"/>
          <w:numId w:val="35"/>
        </w:numPr>
      </w:pPr>
      <w:r w:rsidRPr="003F65F0">
        <w:rPr>
          <w:highlight w:val="yellow"/>
        </w:rPr>
        <w:t xml:space="preserve">Confirmation that the replaced pump </w:t>
      </w:r>
      <w:r w:rsidR="00C276EA" w:rsidRPr="003F65F0">
        <w:rPr>
          <w:highlight w:val="yellow"/>
        </w:rPr>
        <w:t xml:space="preserve">is a </w:t>
      </w:r>
      <w:r w:rsidR="0026095A" w:rsidRPr="003F65F0">
        <w:rPr>
          <w:highlight w:val="yellow"/>
        </w:rPr>
        <w:t xml:space="preserve">main </w:t>
      </w:r>
      <w:r w:rsidR="00C276EA" w:rsidRPr="003F65F0">
        <w:rPr>
          <w:highlight w:val="yellow"/>
        </w:rPr>
        <w:t>filter pump</w:t>
      </w:r>
      <w:r w:rsidR="00C276EA" w:rsidRPr="00F26C60">
        <w:t>.  Booster pumps which are solely</w:t>
      </w:r>
      <w:r w:rsidRPr="00F26C60">
        <w:t xml:space="preserve"> used for</w:t>
      </w:r>
      <w:r w:rsidR="0026095A" w:rsidRPr="00F26C60">
        <w:t xml:space="preserve"> added spa jet circulation or secondary pumps used for</w:t>
      </w:r>
      <w:r w:rsidRPr="00F26C60">
        <w:t xml:space="preserve"> cleaning purposes (a “sweep” pump)</w:t>
      </w:r>
      <w:r w:rsidR="00C276EA" w:rsidRPr="00F26C60">
        <w:t xml:space="preserve"> </w:t>
      </w:r>
      <w:r w:rsidR="00252C60" w:rsidRPr="00F26C60">
        <w:t xml:space="preserve">may not claim savings using these measures. </w:t>
      </w:r>
    </w:p>
    <w:p w14:paraId="1EC03EC6" w14:textId="77777777" w:rsidR="00F6701D" w:rsidRPr="003F65F0" w:rsidRDefault="00F6701D" w:rsidP="00247947">
      <w:pPr>
        <w:pStyle w:val="Body3"/>
        <w:numPr>
          <w:ilvl w:val="0"/>
          <w:numId w:val="35"/>
        </w:numPr>
        <w:rPr>
          <w:color w:val="FF0000"/>
        </w:rPr>
      </w:pPr>
      <w:commentRangeStart w:id="38"/>
      <w:r w:rsidRPr="003F65F0">
        <w:rPr>
          <w:color w:val="FF0000"/>
        </w:rPr>
        <w:t>Documentation</w:t>
      </w:r>
      <w:commentRangeEnd w:id="38"/>
      <w:r w:rsidR="00282F2A">
        <w:rPr>
          <w:rStyle w:val="CommentReference"/>
        </w:rPr>
        <w:commentReference w:id="38"/>
      </w:r>
      <w:r w:rsidRPr="003F65F0">
        <w:rPr>
          <w:color w:val="FF0000"/>
        </w:rPr>
        <w:t xml:space="preserve"> to justify the claim of early retirement </w:t>
      </w:r>
      <w:r w:rsidR="00913E7D" w:rsidRPr="003F65F0">
        <w:rPr>
          <w:color w:val="FF0000"/>
        </w:rPr>
        <w:t>including</w:t>
      </w:r>
      <w:r w:rsidRPr="003F65F0">
        <w:rPr>
          <w:color w:val="FF0000"/>
        </w:rPr>
        <w:t xml:space="preserve"> certification that the pump is </w:t>
      </w:r>
      <w:r w:rsidR="0026095A" w:rsidRPr="003F65F0">
        <w:rPr>
          <w:color w:val="FF0000"/>
        </w:rPr>
        <w:t xml:space="preserve">able </w:t>
      </w:r>
      <w:r w:rsidRPr="003F65F0">
        <w:rPr>
          <w:color w:val="FF0000"/>
        </w:rPr>
        <w:t xml:space="preserve">to continue operating </w:t>
      </w:r>
      <w:r w:rsidR="0026095A" w:rsidRPr="003F65F0">
        <w:rPr>
          <w:color w:val="FF0000"/>
        </w:rPr>
        <w:t xml:space="preserve">and will provide adequate service </w:t>
      </w:r>
      <w:r w:rsidRPr="003F65F0">
        <w:rPr>
          <w:color w:val="FF0000"/>
        </w:rPr>
        <w:t xml:space="preserve">for </w:t>
      </w:r>
      <w:r w:rsidR="00675E57" w:rsidRPr="003F65F0">
        <w:rPr>
          <w:color w:val="FF0000"/>
        </w:rPr>
        <w:t xml:space="preserve">the RUL period being claimed (a minimum of </w:t>
      </w:r>
      <w:r w:rsidR="00F26C60" w:rsidRPr="003F65F0">
        <w:rPr>
          <w:color w:val="FF0000"/>
        </w:rPr>
        <w:t>3.3</w:t>
      </w:r>
      <w:r w:rsidR="00675E57" w:rsidRPr="003F65F0">
        <w:rPr>
          <w:color w:val="FF0000"/>
        </w:rPr>
        <w:t xml:space="preserve"> years)</w:t>
      </w:r>
      <w:r w:rsidRPr="003F65F0">
        <w:rPr>
          <w:color w:val="FF0000"/>
        </w:rPr>
        <w:t xml:space="preserve">.  For example, a cell phone video of the </w:t>
      </w:r>
      <w:r w:rsidR="00913E7D" w:rsidRPr="003F65F0">
        <w:rPr>
          <w:color w:val="FF0000"/>
        </w:rPr>
        <w:t xml:space="preserve">pre-existing </w:t>
      </w:r>
      <w:r w:rsidRPr="003F65F0">
        <w:rPr>
          <w:color w:val="FF0000"/>
        </w:rPr>
        <w:t xml:space="preserve">operating pump would establish that the pump operates without </w:t>
      </w:r>
      <w:r w:rsidR="00675E57" w:rsidRPr="003F65F0">
        <w:rPr>
          <w:color w:val="FF0000"/>
        </w:rPr>
        <w:t xml:space="preserve">bearing or other </w:t>
      </w:r>
      <w:r w:rsidRPr="003F65F0">
        <w:rPr>
          <w:color w:val="FF0000"/>
        </w:rPr>
        <w:t>noise</w:t>
      </w:r>
      <w:r w:rsidR="0026095A" w:rsidRPr="003F65F0">
        <w:rPr>
          <w:color w:val="FF0000"/>
        </w:rPr>
        <w:t xml:space="preserve"> </w:t>
      </w:r>
      <w:r w:rsidR="00675E57" w:rsidRPr="003F65F0">
        <w:rPr>
          <w:color w:val="FF0000"/>
        </w:rPr>
        <w:t xml:space="preserve">indicating a problem </w:t>
      </w:r>
      <w:r w:rsidR="0026095A" w:rsidRPr="003F65F0">
        <w:rPr>
          <w:color w:val="FF0000"/>
        </w:rPr>
        <w:t xml:space="preserve">and </w:t>
      </w:r>
      <w:r w:rsidR="00675E57" w:rsidRPr="003F65F0">
        <w:rPr>
          <w:color w:val="FF0000"/>
        </w:rPr>
        <w:t xml:space="preserve">also showing the pump </w:t>
      </w:r>
      <w:r w:rsidR="0026095A" w:rsidRPr="003F65F0">
        <w:rPr>
          <w:color w:val="FF0000"/>
        </w:rPr>
        <w:t>providing adequate flow</w:t>
      </w:r>
      <w:r w:rsidRPr="003F65F0">
        <w:rPr>
          <w:color w:val="FF0000"/>
        </w:rPr>
        <w:t>.</w:t>
      </w:r>
    </w:p>
    <w:p w14:paraId="5034FAFC" w14:textId="77777777" w:rsidR="00F6701D" w:rsidRPr="003F65F0" w:rsidRDefault="00F6701D" w:rsidP="00247947">
      <w:pPr>
        <w:pStyle w:val="Body3"/>
        <w:numPr>
          <w:ilvl w:val="0"/>
          <w:numId w:val="35"/>
        </w:numPr>
        <w:rPr>
          <w:color w:val="FF0000"/>
        </w:rPr>
      </w:pPr>
      <w:commentRangeStart w:id="39"/>
      <w:r w:rsidRPr="003F65F0">
        <w:rPr>
          <w:color w:val="FF0000"/>
        </w:rPr>
        <w:t>Documentation confirming that the pump will be destroyed rather than refurbished and sold.</w:t>
      </w:r>
      <w:commentRangeEnd w:id="39"/>
      <w:r w:rsidR="00282F2A">
        <w:rPr>
          <w:rStyle w:val="CommentReference"/>
        </w:rPr>
        <w:commentReference w:id="39"/>
      </w:r>
    </w:p>
    <w:p w14:paraId="1B8D7336" w14:textId="77777777" w:rsidR="00FF2485" w:rsidRDefault="00254A14" w:rsidP="00247947">
      <w:pPr>
        <w:pStyle w:val="Body3"/>
      </w:pPr>
      <w:r w:rsidRPr="00F26C60">
        <w:t>No other delivery types may claim early retirement.</w:t>
      </w:r>
    </w:p>
    <w:p w14:paraId="1C89940B" w14:textId="77777777" w:rsidR="00B35DA5" w:rsidRPr="00B35DA5" w:rsidRDefault="00EB65AE" w:rsidP="00B35DA5">
      <w:pPr>
        <w:pStyle w:val="Heading3"/>
      </w:pPr>
      <w:r w:rsidRPr="00B35DA5">
        <w:t xml:space="preserve">All non-direct install delivery </w:t>
      </w:r>
      <w:r w:rsidR="00B35DA5" w:rsidRPr="00B35DA5">
        <w:t xml:space="preserve">types </w:t>
      </w:r>
      <w:r w:rsidRPr="00B35DA5">
        <w:t>for</w:t>
      </w:r>
      <w:r w:rsidR="00B35DA5" w:rsidRPr="00B35DA5">
        <w:t xml:space="preserve"> single family</w:t>
      </w:r>
      <w:r w:rsidR="00254A14">
        <w:t xml:space="preserve"> </w:t>
      </w:r>
      <w:r w:rsidR="001D510E">
        <w:t>swimming pool pumps</w:t>
      </w:r>
      <w:r w:rsidR="00E62C01">
        <w:t xml:space="preserve"> </w:t>
      </w:r>
      <w:r w:rsidR="001D510E" w:rsidRPr="00B35DA5">
        <w:t>will adopt SCE’s Measure B values</w:t>
      </w:r>
      <w:r w:rsidR="001D510E">
        <w:t>:</w:t>
      </w:r>
    </w:p>
    <w:p w14:paraId="65013107" w14:textId="77777777" w:rsidR="00FB3CD9" w:rsidRDefault="00AB6080" w:rsidP="002675AE">
      <w:pPr>
        <w:pStyle w:val="Body3"/>
      </w:pPr>
      <w:r>
        <w:t>SCE’s calculation provide consumption and demand savings on a per pump basis.  They use multiple database sources to establish an average pool volume (20,341 gallons), daily water turn-over (0.98), and pump size and efficiency</w:t>
      </w:r>
      <w:r w:rsidR="00B35DA5">
        <w:t xml:space="preserve"> for single-family residential installations</w:t>
      </w:r>
      <w:r>
        <w:t xml:space="preserve">.  </w:t>
      </w:r>
      <w:commentRangeStart w:id="40"/>
      <w:r w:rsidR="00D44E10" w:rsidRPr="007147E1">
        <w:rPr>
          <w:highlight w:val="yellow"/>
        </w:rPr>
        <w:t>CPUC staff</w:t>
      </w:r>
      <w:r w:rsidRPr="007147E1">
        <w:rPr>
          <w:highlight w:val="yellow"/>
        </w:rPr>
        <w:t xml:space="preserve"> extends the </w:t>
      </w:r>
      <w:r w:rsidR="001D510E" w:rsidRPr="007147E1">
        <w:rPr>
          <w:highlight w:val="yellow"/>
        </w:rPr>
        <w:t xml:space="preserve">SCE energy impact </w:t>
      </w:r>
      <w:r w:rsidRPr="007147E1">
        <w:rPr>
          <w:highlight w:val="yellow"/>
        </w:rPr>
        <w:t xml:space="preserve">results </w:t>
      </w:r>
      <w:r w:rsidR="001D510E" w:rsidRPr="007147E1">
        <w:rPr>
          <w:highlight w:val="yellow"/>
        </w:rPr>
        <w:t xml:space="preserve">for measure PM-98422 </w:t>
      </w:r>
      <w:r w:rsidRPr="007147E1">
        <w:rPr>
          <w:highlight w:val="yellow"/>
        </w:rPr>
        <w:t xml:space="preserve">to all </w:t>
      </w:r>
      <w:r w:rsidR="00B35DA5" w:rsidRPr="007147E1">
        <w:rPr>
          <w:highlight w:val="yellow"/>
        </w:rPr>
        <w:t>climate zones and PAs.</w:t>
      </w:r>
      <w:r w:rsidR="0055704B">
        <w:t xml:space="preserve">  </w:t>
      </w:r>
      <w:commentRangeEnd w:id="40"/>
      <w:r w:rsidR="00AE6395">
        <w:rPr>
          <w:rStyle w:val="CommentReference"/>
        </w:rPr>
        <w:commentReference w:id="40"/>
      </w:r>
    </w:p>
    <w:p w14:paraId="79C2BADF" w14:textId="77777777" w:rsidR="00252C60" w:rsidRDefault="00252C60" w:rsidP="00247947">
      <w:pPr>
        <w:pStyle w:val="Body3"/>
      </w:pPr>
    </w:p>
    <w:p w14:paraId="3E87FB57" w14:textId="77777777" w:rsidR="00C26629" w:rsidRDefault="00C26629" w:rsidP="00247947">
      <w:pPr>
        <w:pStyle w:val="Body3"/>
      </w:pPr>
      <w:commentRangeStart w:id="41"/>
      <w:r w:rsidRPr="00217D3E">
        <w:rPr>
          <w:highlight w:val="yellow"/>
        </w:rPr>
        <w:t>For</w:t>
      </w:r>
      <w:commentRangeEnd w:id="41"/>
      <w:r w:rsidR="007147E1">
        <w:rPr>
          <w:rStyle w:val="CommentReference"/>
        </w:rPr>
        <w:commentReference w:id="41"/>
      </w:r>
      <w:r w:rsidRPr="00217D3E">
        <w:rPr>
          <w:highlight w:val="yellow"/>
        </w:rPr>
        <w:t xml:space="preserve"> downstream rebates, all pre-existing pool pumps shall be assumed to be 2-speed</w:t>
      </w:r>
      <w:r w:rsidRPr="00F26C60">
        <w:t xml:space="preserve">. If the PAs believe they have statistically valid data that shows the saturation of </w:t>
      </w:r>
      <w:r w:rsidR="00830377" w:rsidRPr="00F26C60">
        <w:t xml:space="preserve">filter </w:t>
      </w:r>
      <w:r w:rsidRPr="00F26C60">
        <w:t>pumps smaller than 1HP in single family building types is greater than 10%</w:t>
      </w:r>
      <w:r w:rsidR="00E62C01" w:rsidRPr="00F26C60">
        <w:t>, then</w:t>
      </w:r>
      <w:r w:rsidRPr="00F26C60">
        <w:t xml:space="preserve"> this data and analysis shall be presented to CPUC staff for review and approval prior to use in the update</w:t>
      </w:r>
      <w:r w:rsidR="00E62C01" w:rsidRPr="00F26C60">
        <w:t>s</w:t>
      </w:r>
      <w:r w:rsidRPr="00F26C60">
        <w:t xml:space="preserve"> directed by this disposition.  Once such data and analysis is reviewed and approved by CPUC staff the resultant values may be used to weight the code/standard energy impacts.</w:t>
      </w:r>
    </w:p>
    <w:p w14:paraId="01C21C0A" w14:textId="77777777" w:rsidR="00B35DA5" w:rsidRPr="00B35DA5" w:rsidRDefault="00F6701D" w:rsidP="00B35DA5">
      <w:pPr>
        <w:pStyle w:val="Heading3"/>
      </w:pPr>
      <w:r>
        <w:t>P</w:t>
      </w:r>
      <w:r w:rsidR="001D510E">
        <w:t xml:space="preserve">ools </w:t>
      </w:r>
      <w:r>
        <w:t xml:space="preserve">in </w:t>
      </w:r>
      <w:r w:rsidR="001D510E">
        <w:t>m</w:t>
      </w:r>
      <w:r w:rsidR="00B35DA5" w:rsidRPr="00B35DA5">
        <w:t xml:space="preserve">ulti-family buildings will </w:t>
      </w:r>
      <w:r w:rsidR="001D510E">
        <w:t xml:space="preserve">update energy impacts </w:t>
      </w:r>
      <w:r w:rsidR="00B35DA5" w:rsidRPr="00B35DA5">
        <w:t>follow</w:t>
      </w:r>
      <w:r w:rsidR="001D510E">
        <w:t>ing</w:t>
      </w:r>
      <w:r w:rsidR="00B35DA5" w:rsidRPr="00B35DA5">
        <w:t xml:space="preserve"> SCE’s calculation approach: </w:t>
      </w:r>
    </w:p>
    <w:p w14:paraId="0EBA6089" w14:textId="77777777" w:rsidR="005E28A8" w:rsidRPr="00830377" w:rsidRDefault="00FB5EC2" w:rsidP="002675AE">
      <w:pPr>
        <w:pStyle w:val="Body3"/>
        <w:rPr>
          <w:b/>
        </w:rPr>
      </w:pPr>
      <w:r>
        <w:t xml:space="preserve">PAs shall recalculate savings for </w:t>
      </w:r>
      <w:r w:rsidR="001D510E">
        <w:t xml:space="preserve">all pool types (swimming, wading, and spa) in </w:t>
      </w:r>
      <w:r>
        <w:t xml:space="preserve">multi-family buildings using </w:t>
      </w:r>
      <w:r w:rsidR="001D510E">
        <w:t>equation 1 of WP13SCE001.3</w:t>
      </w:r>
      <w:r>
        <w:t xml:space="preserve">.  </w:t>
      </w:r>
      <w:r w:rsidR="00835058">
        <w:t>Either use t</w:t>
      </w:r>
      <w:r>
        <w:t xml:space="preserve">he following assumptions </w:t>
      </w:r>
      <w:r w:rsidR="00835058">
        <w:t xml:space="preserve">or provide </w:t>
      </w:r>
      <w:r w:rsidR="00835058">
        <w:lastRenderedPageBreak/>
        <w:t>new information</w:t>
      </w:r>
      <w:r w:rsidR="00656F2F">
        <w:t xml:space="preserve"> that </w:t>
      </w:r>
      <w:r w:rsidR="00835058">
        <w:t>is more recent or more thorough than the multi-family data in Attachment 4 of SCE13WP001.3.</w:t>
      </w:r>
    </w:p>
    <w:p w14:paraId="1F162464" w14:textId="77777777" w:rsidR="00FB5EC2" w:rsidRPr="00217D3E" w:rsidRDefault="00FB5EC2" w:rsidP="002675AE">
      <w:pPr>
        <w:pStyle w:val="Body3"/>
        <w:numPr>
          <w:ilvl w:val="0"/>
          <w:numId w:val="32"/>
        </w:numPr>
        <w:rPr>
          <w:highlight w:val="yellow"/>
        </w:rPr>
      </w:pPr>
      <w:r w:rsidRPr="00217D3E">
        <w:rPr>
          <w:highlight w:val="yellow"/>
        </w:rPr>
        <w:t xml:space="preserve">Pool Volume per pump: </w:t>
      </w:r>
      <w:commentRangeStart w:id="42"/>
      <w:r w:rsidR="00E51937" w:rsidRPr="00217D3E">
        <w:rPr>
          <w:highlight w:val="yellow"/>
        </w:rPr>
        <w:t>31</w:t>
      </w:r>
      <w:commentRangeEnd w:id="42"/>
      <w:r w:rsidR="00AE6395">
        <w:rPr>
          <w:rStyle w:val="CommentReference"/>
        </w:rPr>
        <w:commentReference w:id="42"/>
      </w:r>
      <w:r w:rsidRPr="00217D3E">
        <w:rPr>
          <w:highlight w:val="yellow"/>
        </w:rPr>
        <w:t>,000 gallons</w:t>
      </w:r>
      <w:r w:rsidR="006851A1" w:rsidRPr="00217D3E">
        <w:rPr>
          <w:highlight w:val="yellow"/>
        </w:rPr>
        <w:t xml:space="preserve"> (swimming pools), </w:t>
      </w:r>
      <w:commentRangeStart w:id="44"/>
      <w:r w:rsidR="006851A1" w:rsidRPr="00217D3E">
        <w:rPr>
          <w:highlight w:val="yellow"/>
        </w:rPr>
        <w:t>720 (wading pools), 1,400 (spa)</w:t>
      </w:r>
      <w:r w:rsidR="006851A1" w:rsidRPr="00217D3E">
        <w:rPr>
          <w:rStyle w:val="FootnoteReference"/>
          <w:highlight w:val="yellow"/>
        </w:rPr>
        <w:t xml:space="preserve"> </w:t>
      </w:r>
      <w:r w:rsidR="006851A1" w:rsidRPr="00217D3E">
        <w:rPr>
          <w:rStyle w:val="FootnoteReference"/>
          <w:highlight w:val="yellow"/>
        </w:rPr>
        <w:footnoteReference w:id="5"/>
      </w:r>
      <w:commentRangeEnd w:id="44"/>
      <w:r w:rsidR="00D628A2">
        <w:rPr>
          <w:rStyle w:val="CommentReference"/>
        </w:rPr>
        <w:commentReference w:id="44"/>
      </w:r>
    </w:p>
    <w:p w14:paraId="2F7ED8C9" w14:textId="77777777" w:rsidR="00FB5EC2" w:rsidRPr="00217D3E" w:rsidRDefault="00FB5EC2" w:rsidP="00247947">
      <w:pPr>
        <w:pStyle w:val="Body3"/>
        <w:numPr>
          <w:ilvl w:val="0"/>
          <w:numId w:val="32"/>
        </w:numPr>
        <w:rPr>
          <w:highlight w:val="yellow"/>
        </w:rPr>
      </w:pPr>
      <w:commentRangeStart w:id="45"/>
      <w:r w:rsidRPr="00217D3E">
        <w:rPr>
          <w:highlight w:val="yellow"/>
        </w:rPr>
        <w:t>Daily water turnover</w:t>
      </w:r>
      <w:commentRangeEnd w:id="45"/>
      <w:r w:rsidR="00AE6395">
        <w:rPr>
          <w:rStyle w:val="CommentReference"/>
        </w:rPr>
        <w:commentReference w:id="45"/>
      </w:r>
      <w:r w:rsidRPr="00217D3E">
        <w:rPr>
          <w:highlight w:val="yellow"/>
        </w:rPr>
        <w:t>: 4</w:t>
      </w:r>
      <w:r w:rsidR="00835058" w:rsidRPr="00217D3E">
        <w:rPr>
          <w:highlight w:val="yellow"/>
        </w:rPr>
        <w:t xml:space="preserve"> (swimming pools), 24 (wading pools)</w:t>
      </w:r>
      <w:r w:rsidR="004B536A" w:rsidRPr="00217D3E">
        <w:rPr>
          <w:highlight w:val="yellow"/>
        </w:rPr>
        <w:t>, 48 (spas)</w:t>
      </w:r>
    </w:p>
    <w:p w14:paraId="304F634C" w14:textId="77777777" w:rsidR="0055704B" w:rsidRPr="00217D3E" w:rsidRDefault="00FB5EC2" w:rsidP="00247947">
      <w:pPr>
        <w:pStyle w:val="Body3"/>
        <w:numPr>
          <w:ilvl w:val="0"/>
          <w:numId w:val="32"/>
        </w:numPr>
        <w:rPr>
          <w:highlight w:val="yellow"/>
        </w:rPr>
      </w:pPr>
      <w:r w:rsidRPr="00217D3E">
        <w:rPr>
          <w:highlight w:val="yellow"/>
        </w:rPr>
        <w:t xml:space="preserve">Pump size &amp; efficiency: </w:t>
      </w:r>
      <w:r w:rsidR="0055704B" w:rsidRPr="00217D3E">
        <w:rPr>
          <w:highlight w:val="yellow"/>
        </w:rPr>
        <w:t xml:space="preserve">develop new EFF values for pumps that are less than 1 HP.  For larger pumps, the pump size and efficiency from </w:t>
      </w:r>
      <w:r w:rsidRPr="00217D3E">
        <w:rPr>
          <w:highlight w:val="yellow"/>
        </w:rPr>
        <w:t>SCE Measure B</w:t>
      </w:r>
      <w:r w:rsidR="006851A1" w:rsidRPr="00217D3E">
        <w:rPr>
          <w:highlight w:val="yellow"/>
        </w:rPr>
        <w:t xml:space="preserve"> </w:t>
      </w:r>
      <w:r w:rsidR="0055704B" w:rsidRPr="00217D3E">
        <w:rPr>
          <w:highlight w:val="yellow"/>
        </w:rPr>
        <w:t xml:space="preserve">may be used. </w:t>
      </w:r>
    </w:p>
    <w:p w14:paraId="70A13100" w14:textId="77777777" w:rsidR="00656F2F" w:rsidRDefault="00656F2F" w:rsidP="00247947">
      <w:pPr>
        <w:pStyle w:val="Body3"/>
        <w:numPr>
          <w:ilvl w:val="0"/>
          <w:numId w:val="32"/>
        </w:numPr>
      </w:pPr>
      <w:commentRangeStart w:id="46"/>
      <w:r w:rsidRPr="00170CD7">
        <w:rPr>
          <w:highlight w:val="yellow"/>
        </w:rPr>
        <w:t xml:space="preserve">For downstream rebates, all pre-existing multi-family pool pumps </w:t>
      </w:r>
      <w:r w:rsidR="002D3450" w:rsidRPr="00170CD7">
        <w:rPr>
          <w:highlight w:val="yellow"/>
        </w:rPr>
        <w:t xml:space="preserve">shall </w:t>
      </w:r>
      <w:r w:rsidRPr="00170CD7">
        <w:rPr>
          <w:highlight w:val="yellow"/>
        </w:rPr>
        <w:t>be assumed to be 2-speed</w:t>
      </w:r>
      <w:commentRangeEnd w:id="46"/>
      <w:r w:rsidR="00AE6395" w:rsidRPr="00170CD7">
        <w:rPr>
          <w:rStyle w:val="CommentReference"/>
          <w:highlight w:val="yellow"/>
        </w:rPr>
        <w:commentReference w:id="46"/>
      </w:r>
      <w:r>
        <w:t>.</w:t>
      </w:r>
      <w:r w:rsidR="002D3450">
        <w:t xml:space="preserve"> If the PAs believe they have statistically valid data that shows the saturation of pumps smaller than 1HP in multi-family building types is greater than 10% this data and analysis shall be presented to CPUC staff for review and approval prior to use in the updated directed by this disposition.  Once such data and analysis is reviewed and approved by CPUC staff the resultant values may be used to weight the code/standard energy impacts.</w:t>
      </w:r>
    </w:p>
    <w:p w14:paraId="72E1B765" w14:textId="77777777" w:rsidR="00656F2F" w:rsidRDefault="00656F2F" w:rsidP="00830377">
      <w:pPr>
        <w:pStyle w:val="Body3"/>
      </w:pPr>
      <w:commentRangeStart w:id="47"/>
      <w:r w:rsidRPr="00170CD7">
        <w:rPr>
          <w:highlight w:val="yellow"/>
        </w:rPr>
        <w:t>If PAs wish to claim an early retirement direct install measure for multi-family buildings, a measure may be developed w</w:t>
      </w:r>
      <w:r w:rsidR="007F4469" w:rsidRPr="00170CD7">
        <w:rPr>
          <w:highlight w:val="yellow"/>
        </w:rPr>
        <w:t>h</w:t>
      </w:r>
      <w:r w:rsidRPr="00170CD7">
        <w:rPr>
          <w:highlight w:val="yellow"/>
        </w:rPr>
        <w:t>i</w:t>
      </w:r>
      <w:r w:rsidR="007F4469" w:rsidRPr="00170CD7">
        <w:rPr>
          <w:highlight w:val="yellow"/>
        </w:rPr>
        <w:t>ch</w:t>
      </w:r>
      <w:r w:rsidRPr="00170CD7">
        <w:rPr>
          <w:highlight w:val="yellow"/>
        </w:rPr>
        <w:t xml:space="preserve"> assumes a single-speed pump as a pre-existing technology</w:t>
      </w:r>
      <w:commentRangeEnd w:id="47"/>
      <w:r w:rsidR="00170CD7" w:rsidRPr="00170CD7">
        <w:rPr>
          <w:rStyle w:val="CommentReference"/>
          <w:highlight w:val="yellow"/>
        </w:rPr>
        <w:commentReference w:id="47"/>
      </w:r>
      <w:r>
        <w:t>.  In this case, please also provide a 2</w:t>
      </w:r>
      <w:r w:rsidRPr="00656F2F">
        <w:rPr>
          <w:vertAlign w:val="superscript"/>
        </w:rPr>
        <w:t>nd</w:t>
      </w:r>
      <w:r>
        <w:t xml:space="preserve"> direct install measure for early retirement of two-speed pumps.  These measures should generally follow the structure of Measures </w:t>
      </w:r>
      <w:proofErr w:type="gramStart"/>
      <w:r>
        <w:t>A</w:t>
      </w:r>
      <w:proofErr w:type="gramEnd"/>
      <w:r>
        <w:t xml:space="preserve"> &amp; C in SCE13WP0</w:t>
      </w:r>
      <w:r w:rsidRPr="00F26C60">
        <w:t>01.3.</w:t>
      </w:r>
      <w:r w:rsidR="00913E7D" w:rsidRPr="00F26C60">
        <w:t xml:space="preserve">  Also, they must demonstrate preponderance of evidence as listed in 3.2.1, above.</w:t>
      </w:r>
    </w:p>
    <w:p w14:paraId="58459B32" w14:textId="77777777" w:rsidR="00C26629" w:rsidRDefault="00C26629" w:rsidP="002675AE">
      <w:pPr>
        <w:pStyle w:val="Body3"/>
      </w:pPr>
    </w:p>
    <w:p w14:paraId="015FB099" w14:textId="15B8DBB7" w:rsidR="004D4B7D" w:rsidRPr="001C2764" w:rsidRDefault="00FB56FD" w:rsidP="007121DC">
      <w:pPr>
        <w:pStyle w:val="Heading2"/>
      </w:pPr>
      <w:bookmarkStart w:id="48" w:name="_Toc476045344"/>
      <w:r>
        <w:t>Ex ante data submissions have various errors</w:t>
      </w:r>
      <w:bookmarkEnd w:id="48"/>
    </w:p>
    <w:p w14:paraId="4F06927B" w14:textId="77777777" w:rsidR="00B26946" w:rsidRDefault="00D44E10" w:rsidP="00235ACC">
      <w:pPr>
        <w:pStyle w:val="Body2"/>
      </w:pPr>
      <w:r>
        <w:t xml:space="preserve">Ex ante data was reviewed for conformance with program descriptions and calculated values described in the existing </w:t>
      </w:r>
      <w:proofErr w:type="spellStart"/>
      <w:r>
        <w:t>workpapers</w:t>
      </w:r>
      <w:proofErr w:type="spellEnd"/>
      <w:r>
        <w:t>.  Several discrepancies were noted, including missing information.</w:t>
      </w:r>
    </w:p>
    <w:p w14:paraId="4A2E5BAA" w14:textId="77777777" w:rsidR="00D44E10" w:rsidRPr="008F3CE2" w:rsidRDefault="00D44E10" w:rsidP="00D44E10">
      <w:pPr>
        <w:pStyle w:val="Body2"/>
      </w:pPr>
      <w:r>
        <w:rPr>
          <w:b/>
        </w:rPr>
        <w:t>Direction:</w:t>
      </w:r>
      <w:r>
        <w:t xml:space="preserve"> Revise </w:t>
      </w:r>
      <w:proofErr w:type="spellStart"/>
      <w:r>
        <w:t>workpapers</w:t>
      </w:r>
      <w:proofErr w:type="spellEnd"/>
      <w:r>
        <w:t xml:space="preserve"> as follow:</w:t>
      </w:r>
    </w:p>
    <w:p w14:paraId="6F7F6C09" w14:textId="77777777" w:rsidR="00D44E10" w:rsidRDefault="00D44E10" w:rsidP="00B35DA5">
      <w:pPr>
        <w:pStyle w:val="Heading3"/>
      </w:pPr>
      <w:r>
        <w:t>SCE to submit complete ex ante data</w:t>
      </w:r>
    </w:p>
    <w:p w14:paraId="066088F6" w14:textId="77777777" w:rsidR="00A21E0E" w:rsidRPr="00A21E0E" w:rsidRDefault="00D44E10" w:rsidP="002675AE">
      <w:pPr>
        <w:pStyle w:val="Body3"/>
      </w:pPr>
      <w:r>
        <w:t xml:space="preserve">The </w:t>
      </w:r>
      <w:proofErr w:type="spellStart"/>
      <w:r>
        <w:t>workpaper</w:t>
      </w:r>
      <w:proofErr w:type="spellEnd"/>
      <w:r>
        <w:t xml:space="preserve"> data submitted in April 201</w:t>
      </w:r>
      <w:r w:rsidR="00656F2F">
        <w:t>6</w:t>
      </w:r>
      <w:r>
        <w:t xml:space="preserve"> does not appear to include an implementation table; therefore, the CPUC staff is unable to review how the proposed program parameters are being implemented by SCE.  Please submit complete ex ante data.</w:t>
      </w:r>
    </w:p>
    <w:p w14:paraId="40730A3A" w14:textId="77777777" w:rsidR="00B433BF" w:rsidRDefault="00D44E10" w:rsidP="00B35DA5">
      <w:pPr>
        <w:pStyle w:val="Heading3"/>
      </w:pPr>
      <w:r>
        <w:t xml:space="preserve">PG&amp;E to submit a </w:t>
      </w:r>
      <w:proofErr w:type="spellStart"/>
      <w:r>
        <w:t>workpaper</w:t>
      </w:r>
      <w:proofErr w:type="spellEnd"/>
      <w:r w:rsidR="00FB5EC2">
        <w:t xml:space="preserve">  </w:t>
      </w:r>
    </w:p>
    <w:p w14:paraId="185C2A24" w14:textId="77777777" w:rsidR="00FB5EC2" w:rsidRDefault="00D44E10" w:rsidP="002675AE">
      <w:pPr>
        <w:pStyle w:val="Body3"/>
      </w:pPr>
      <w:r>
        <w:t xml:space="preserve">As mentioned above, </w:t>
      </w:r>
      <w:r w:rsidR="00FB5EC2">
        <w:t>PG&amp;E</w:t>
      </w:r>
      <w:r>
        <w:t xml:space="preserve">’s ex ante data uses the Res sector and Res Building Type.  </w:t>
      </w:r>
      <w:r w:rsidR="00FB56FD">
        <w:t xml:space="preserve">The Res Building Type includes </w:t>
      </w:r>
      <w:r>
        <w:t xml:space="preserve">multi-family buildings.  Revise and resubmit </w:t>
      </w:r>
      <w:r w:rsidR="00FB5EC2">
        <w:t xml:space="preserve">ex ante data to </w:t>
      </w:r>
      <w:r w:rsidR="00656F2F">
        <w:t>separate energy savings values for single family installations from multi-family installations</w:t>
      </w:r>
      <w:r>
        <w:t xml:space="preserve">. </w:t>
      </w:r>
    </w:p>
    <w:p w14:paraId="22C95D1B" w14:textId="77777777" w:rsidR="00B702D7" w:rsidRDefault="00FB56FD" w:rsidP="00B35DA5">
      <w:pPr>
        <w:pStyle w:val="Heading3"/>
      </w:pPr>
      <w:r>
        <w:lastRenderedPageBreak/>
        <w:t>SDG&amp;E to update ex ante data</w:t>
      </w:r>
    </w:p>
    <w:p w14:paraId="220586DD" w14:textId="77777777" w:rsidR="00FB56FD" w:rsidRPr="00FB5EC2" w:rsidRDefault="00656F2F" w:rsidP="002675AE">
      <w:pPr>
        <w:pStyle w:val="Body3"/>
      </w:pPr>
      <w:r>
        <w:t>S</w:t>
      </w:r>
      <w:r w:rsidR="00FB56FD">
        <w:t xml:space="preserve">ubmitted data shows energy impacts do not match the adopted </w:t>
      </w:r>
      <w:proofErr w:type="spellStart"/>
      <w:r w:rsidR="00FB56FD">
        <w:t>workpaper</w:t>
      </w:r>
      <w:proofErr w:type="spellEnd"/>
      <w:r>
        <w:t xml:space="preserve"> (SCE13WP001.3)</w:t>
      </w:r>
      <w:r w:rsidR="00FB56FD">
        <w:t>.  In general, the retrofit (early retirement) values have been shown in SDG&amp;E data even though their program delivery type is limited to natural replacement (replace on burnout) measures.  The result is that SDG&amp;E is incorrectly claiming savings compared with the pre-existing technology.  Revise and resubmit ex ante data to follow this disposition.</w:t>
      </w:r>
    </w:p>
    <w:p w14:paraId="49138CA6" w14:textId="77777777" w:rsidR="00FB56FD" w:rsidRPr="00FB56FD" w:rsidRDefault="00FB56FD" w:rsidP="00247947">
      <w:pPr>
        <w:pStyle w:val="Body3"/>
      </w:pPr>
    </w:p>
    <w:p w14:paraId="0E079745" w14:textId="78C2AC76" w:rsidR="006C566C" w:rsidRDefault="006C566C" w:rsidP="006C566C">
      <w:pPr>
        <w:pStyle w:val="Heading2"/>
      </w:pPr>
      <w:bookmarkStart w:id="49" w:name="_Toc476045345"/>
      <w:r>
        <w:t>Technology costs vary across the state</w:t>
      </w:r>
      <w:bookmarkEnd w:id="49"/>
    </w:p>
    <w:p w14:paraId="5442F92C" w14:textId="77777777" w:rsidR="002675AE" w:rsidRPr="00F26C60" w:rsidRDefault="002675AE" w:rsidP="002675AE">
      <w:pPr>
        <w:pStyle w:val="Body2"/>
      </w:pPr>
      <w:r w:rsidRPr="00F26C60">
        <w:t xml:space="preserve">Limited work has been done to determine the material and labor costs to install code compliant (Title 20) pumps and measure case variable speed pumps.  </w:t>
      </w:r>
      <w:r w:rsidR="00286D50" w:rsidRPr="00F26C60">
        <w:t xml:space="preserve">Across the submitted </w:t>
      </w:r>
      <w:proofErr w:type="spellStart"/>
      <w:r w:rsidR="00286D50" w:rsidRPr="00F26C60">
        <w:t>workpapers</w:t>
      </w:r>
      <w:proofErr w:type="spellEnd"/>
      <w:r w:rsidR="00286D50" w:rsidRPr="00F26C60">
        <w:t xml:space="preserve">, code compliant pump </w:t>
      </w:r>
      <w:r w:rsidRPr="00F26C60">
        <w:t xml:space="preserve">costs vary by 200% and measure </w:t>
      </w:r>
      <w:r w:rsidR="00286D50" w:rsidRPr="00F26C60">
        <w:t xml:space="preserve">pump </w:t>
      </w:r>
      <w:r w:rsidRPr="00F26C60">
        <w:t>costs vary 23%.</w:t>
      </w:r>
    </w:p>
    <w:p w14:paraId="285DF549" w14:textId="77777777" w:rsidR="002675AE" w:rsidRPr="00F26C60" w:rsidRDefault="002675AE" w:rsidP="002675AE">
      <w:pPr>
        <w:pStyle w:val="Body2"/>
      </w:pPr>
      <w:r w:rsidRPr="00F26C60">
        <w:rPr>
          <w:b/>
        </w:rPr>
        <w:t>Direction:</w:t>
      </w:r>
      <w:r w:rsidRPr="00F26C60">
        <w:t xml:space="preserve"> Revise </w:t>
      </w:r>
      <w:proofErr w:type="spellStart"/>
      <w:r w:rsidRPr="00F26C60">
        <w:t>workpapers</w:t>
      </w:r>
      <w:proofErr w:type="spellEnd"/>
      <w:r w:rsidRPr="00F26C60">
        <w:t xml:space="preserve"> as follow:</w:t>
      </w:r>
    </w:p>
    <w:p w14:paraId="3797C55D" w14:textId="77777777" w:rsidR="002675AE" w:rsidRPr="00F26C60" w:rsidRDefault="002675AE" w:rsidP="002675AE">
      <w:pPr>
        <w:pStyle w:val="Heading3"/>
      </w:pPr>
      <w:commentRangeStart w:id="50"/>
      <w:r w:rsidRPr="00F26C60">
        <w:t>Establish</w:t>
      </w:r>
      <w:commentRangeEnd w:id="50"/>
      <w:r w:rsidR="00191C71">
        <w:rPr>
          <w:rStyle w:val="CommentReference"/>
          <w:rFonts w:eastAsia="Times New Roman"/>
          <w:bCs w:val="0"/>
          <w:u w:val="none"/>
        </w:rPr>
        <w:commentReference w:id="50"/>
      </w:r>
      <w:r w:rsidRPr="00F26C60">
        <w:t xml:space="preserve"> a statewide costs for the </w:t>
      </w:r>
      <w:r w:rsidR="00286D50" w:rsidRPr="00F26C60">
        <w:t xml:space="preserve">cost compliant pumps </w:t>
      </w:r>
      <w:r w:rsidRPr="00F26C60">
        <w:t xml:space="preserve">(2-speed) and the measure </w:t>
      </w:r>
      <w:r w:rsidR="00286D50" w:rsidRPr="00F26C60">
        <w:t xml:space="preserve">pumps </w:t>
      </w:r>
      <w:r w:rsidRPr="00F26C60">
        <w:t>e (variable speed)</w:t>
      </w:r>
    </w:p>
    <w:p w14:paraId="547B6470" w14:textId="77777777" w:rsidR="002675AE" w:rsidRPr="002675AE" w:rsidRDefault="00247947" w:rsidP="002675AE">
      <w:pPr>
        <w:pStyle w:val="Body3"/>
      </w:pPr>
      <w:r w:rsidRPr="00F26C60">
        <w:t xml:space="preserve">Provide a material cost and a labor cost within the statewide </w:t>
      </w:r>
      <w:proofErr w:type="spellStart"/>
      <w:r w:rsidRPr="00F26C60">
        <w:t>workpaper</w:t>
      </w:r>
      <w:proofErr w:type="spellEnd"/>
      <w:r w:rsidRPr="00F26C60">
        <w:t xml:space="preserve"> for installation of a Title 20</w:t>
      </w:r>
      <w:r w:rsidR="00286D50" w:rsidRPr="00F26C60">
        <w:t xml:space="preserve"> compliant</w:t>
      </w:r>
      <w:r w:rsidRPr="00F26C60">
        <w:t xml:space="preserve"> 2-speed pump and a variable speed pump.  If desired,</w:t>
      </w:r>
      <w:r w:rsidR="00286D50" w:rsidRPr="00F26C60">
        <w:t xml:space="preserve"> </w:t>
      </w:r>
      <w:r w:rsidRPr="00F26C60">
        <w:t>location cost adjustment factors may be used to reflect different costs for materials and labor throughout the state.  Direct install programmed (“commissioned”) pumps may have a separate deemed cost reflecting the additional cost associated with programming the pump.</w:t>
      </w:r>
      <w:r w:rsidR="00286D50" w:rsidRPr="00F26C60">
        <w:t xml:space="preserve">  Also, pumps installed in multi-family buildings may have separate costs, if PAs provide information to justify a difference due to the building type, pool system complexity, etc.</w:t>
      </w:r>
    </w:p>
    <w:p w14:paraId="1CC90CDC" w14:textId="77777777" w:rsidR="00DE193E" w:rsidRPr="001C2764" w:rsidRDefault="00DE193E" w:rsidP="00774848">
      <w:pPr>
        <w:pStyle w:val="TOC2"/>
      </w:pPr>
    </w:p>
    <w:sectPr w:rsidR="00DE193E" w:rsidRPr="001C2764" w:rsidSect="007420F0">
      <w:headerReference w:type="default" r:id="rId10"/>
      <w:footerReference w:type="default" r:id="rId11"/>
      <w:footerReference w:type="first" r:id="rId12"/>
      <w:pgSz w:w="12240" w:h="15840" w:code="1"/>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Andres Fergadiotti" w:date="2018-04-16T08:27:00Z" w:initials="AF">
    <w:p w14:paraId="468F6F35" w14:textId="29FC360F" w:rsidR="00DC1D0D" w:rsidRPr="007147E1" w:rsidRDefault="00DC1D0D">
      <w:pPr>
        <w:pStyle w:val="CommentText"/>
        <w:rPr>
          <w:b/>
        </w:rPr>
      </w:pPr>
      <w:r>
        <w:rPr>
          <w:rStyle w:val="CommentReference"/>
        </w:rPr>
        <w:annotationRef/>
      </w:r>
      <w:r w:rsidR="00D87880" w:rsidRPr="007147E1">
        <w:rPr>
          <w:b/>
        </w:rPr>
        <w:t xml:space="preserve">For single-speed baseline measures, </w:t>
      </w:r>
      <w:r w:rsidRPr="007147E1">
        <w:rPr>
          <w:b/>
        </w:rPr>
        <w:t>SC</w:t>
      </w:r>
      <w:r w:rsidR="004D11A9" w:rsidRPr="007147E1">
        <w:rPr>
          <w:b/>
        </w:rPr>
        <w:t>E</w:t>
      </w:r>
      <w:r w:rsidR="00C745C7" w:rsidRPr="007147E1">
        <w:rPr>
          <w:b/>
        </w:rPr>
        <w:t>’s</w:t>
      </w:r>
      <w:r w:rsidR="004D11A9" w:rsidRPr="007147E1">
        <w:rPr>
          <w:b/>
        </w:rPr>
        <w:t xml:space="preserve"> </w:t>
      </w:r>
      <w:r w:rsidR="00E2096A" w:rsidRPr="007147E1">
        <w:rPr>
          <w:b/>
        </w:rPr>
        <w:t xml:space="preserve">DI and </w:t>
      </w:r>
      <w:r w:rsidR="003E3114">
        <w:rPr>
          <w:b/>
        </w:rPr>
        <w:t xml:space="preserve">DI with </w:t>
      </w:r>
      <w:r w:rsidR="00E2096A" w:rsidRPr="007147E1">
        <w:rPr>
          <w:b/>
        </w:rPr>
        <w:t>Downstream</w:t>
      </w:r>
      <w:r w:rsidR="003E3114">
        <w:rPr>
          <w:b/>
        </w:rPr>
        <w:t xml:space="preserve"> incentive</w:t>
      </w:r>
      <w:r w:rsidR="00E2096A" w:rsidRPr="007147E1">
        <w:rPr>
          <w:b/>
        </w:rPr>
        <w:t xml:space="preserve"> support </w:t>
      </w:r>
      <w:r w:rsidR="004D11A9" w:rsidRPr="007147E1">
        <w:rPr>
          <w:b/>
        </w:rPr>
        <w:t>ver</w:t>
      </w:r>
      <w:r w:rsidR="00C745C7" w:rsidRPr="007147E1">
        <w:rPr>
          <w:b/>
        </w:rPr>
        <w:t>ification of existing condition</w:t>
      </w:r>
      <w:r w:rsidR="007147E1" w:rsidRPr="007147E1">
        <w:rPr>
          <w:b/>
        </w:rPr>
        <w:t>s</w:t>
      </w:r>
      <w:r w:rsidR="00C745C7" w:rsidRPr="007147E1">
        <w:rPr>
          <w:b/>
        </w:rPr>
        <w:t xml:space="preserve"> (e.g. single-speed) </w:t>
      </w:r>
      <w:r w:rsidR="00D87880" w:rsidRPr="007147E1">
        <w:rPr>
          <w:b/>
        </w:rPr>
        <w:t xml:space="preserve">using </w:t>
      </w:r>
      <w:r w:rsidR="007147E1" w:rsidRPr="007147E1">
        <w:rPr>
          <w:b/>
        </w:rPr>
        <w:t xml:space="preserve">trained/approved </w:t>
      </w:r>
      <w:r w:rsidR="00D87880" w:rsidRPr="007147E1">
        <w:rPr>
          <w:b/>
        </w:rPr>
        <w:t>3</w:t>
      </w:r>
      <w:r w:rsidR="00D87880" w:rsidRPr="007147E1">
        <w:rPr>
          <w:b/>
          <w:vertAlign w:val="superscript"/>
        </w:rPr>
        <w:t>rd</w:t>
      </w:r>
      <w:r w:rsidR="00D87880" w:rsidRPr="007147E1">
        <w:rPr>
          <w:b/>
        </w:rPr>
        <w:t xml:space="preserve"> </w:t>
      </w:r>
      <w:r w:rsidR="00C745C7" w:rsidRPr="007147E1">
        <w:rPr>
          <w:b/>
        </w:rPr>
        <w:t>party</w:t>
      </w:r>
      <w:r w:rsidR="007147E1" w:rsidRPr="007147E1">
        <w:rPr>
          <w:b/>
        </w:rPr>
        <w:t xml:space="preserve"> contractor</w:t>
      </w:r>
      <w:r w:rsidR="00C745C7" w:rsidRPr="007147E1">
        <w:rPr>
          <w:b/>
        </w:rPr>
        <w:t xml:space="preserve"> with POE</w:t>
      </w:r>
    </w:p>
  </w:comment>
  <w:comment w:id="17" w:author="Andres Fergadiotti" w:date="2018-04-16T18:48:00Z" w:initials="AF">
    <w:p w14:paraId="471C05BC" w14:textId="20BB943D" w:rsidR="001843B2" w:rsidRPr="007147E1" w:rsidRDefault="001843B2">
      <w:pPr>
        <w:pStyle w:val="CommentText"/>
        <w:rPr>
          <w:b/>
        </w:rPr>
      </w:pPr>
      <w:r>
        <w:rPr>
          <w:rStyle w:val="CommentReference"/>
        </w:rPr>
        <w:annotationRef/>
      </w:r>
      <w:r w:rsidR="007147E1" w:rsidRPr="007147E1">
        <w:rPr>
          <w:b/>
        </w:rPr>
        <w:t xml:space="preserve">For single-speed baseline measures, SCE’s DI and </w:t>
      </w:r>
      <w:r w:rsidR="003E3114">
        <w:rPr>
          <w:b/>
        </w:rPr>
        <w:t xml:space="preserve">DI with </w:t>
      </w:r>
      <w:r w:rsidR="007147E1" w:rsidRPr="007147E1">
        <w:rPr>
          <w:b/>
        </w:rPr>
        <w:t>Downstream</w:t>
      </w:r>
      <w:r w:rsidR="003E3114">
        <w:rPr>
          <w:b/>
        </w:rPr>
        <w:t xml:space="preserve"> incentive</w:t>
      </w:r>
      <w:r w:rsidR="007147E1" w:rsidRPr="007147E1">
        <w:rPr>
          <w:b/>
        </w:rPr>
        <w:t xml:space="preserve"> support verification of existing conditions (e.g. single-speed) using trained/approved 3</w:t>
      </w:r>
      <w:r w:rsidR="007147E1" w:rsidRPr="007147E1">
        <w:rPr>
          <w:b/>
          <w:vertAlign w:val="superscript"/>
        </w:rPr>
        <w:t>rd</w:t>
      </w:r>
      <w:r w:rsidR="007147E1" w:rsidRPr="007147E1">
        <w:rPr>
          <w:b/>
        </w:rPr>
        <w:t xml:space="preserve"> party contractor with POE</w:t>
      </w:r>
      <w:r w:rsidR="001A521B">
        <w:rPr>
          <w:b/>
        </w:rPr>
        <w:t>.</w:t>
      </w:r>
    </w:p>
  </w:comment>
  <w:comment w:id="34" w:author="Andres Fergadiotti" w:date="2018-04-17T06:50:00Z" w:initials="AF">
    <w:p w14:paraId="50E07BA5" w14:textId="312FDAC0" w:rsidR="005C335B" w:rsidRDefault="005C335B">
      <w:pPr>
        <w:pStyle w:val="CommentText"/>
      </w:pPr>
      <w:r>
        <w:rPr>
          <w:rStyle w:val="CommentReference"/>
        </w:rPr>
        <w:annotationRef/>
      </w:r>
      <w:r w:rsidR="00E2096A">
        <w:t xml:space="preserve">Disposition values (including kW/kWh) for </w:t>
      </w:r>
      <w:r>
        <w:t>Measure</w:t>
      </w:r>
      <w:r w:rsidR="00E2096A">
        <w:t xml:space="preserve">s A and C are adopted in </w:t>
      </w:r>
      <w:proofErr w:type="spellStart"/>
      <w:r w:rsidR="00E2096A">
        <w:t>workpaper</w:t>
      </w:r>
      <w:proofErr w:type="spellEnd"/>
      <w:r w:rsidR="00E2096A">
        <w:t xml:space="preserve"> without deviations. </w:t>
      </w:r>
    </w:p>
  </w:comment>
  <w:comment w:id="36" w:author="Andres Fergadiotti" w:date="2018-04-16T08:49:00Z" w:initials="AF">
    <w:p w14:paraId="0F0D8193" w14:textId="0473538A" w:rsidR="00AE6395" w:rsidRDefault="00AE6395">
      <w:pPr>
        <w:pStyle w:val="CommentText"/>
      </w:pPr>
      <w:r>
        <w:rPr>
          <w:rStyle w:val="CommentReference"/>
        </w:rPr>
        <w:annotationRef/>
      </w:r>
      <w:r w:rsidR="002859E2">
        <w:t xml:space="preserve">All parameters </w:t>
      </w:r>
      <w:r w:rsidR="005C335B">
        <w:t xml:space="preserve">prescribed </w:t>
      </w:r>
      <w:r w:rsidR="00D628A2">
        <w:t xml:space="preserve">herein are </w:t>
      </w:r>
      <w:r w:rsidR="005C335B">
        <w:t xml:space="preserve">met in </w:t>
      </w:r>
      <w:proofErr w:type="spellStart"/>
      <w:r w:rsidR="005C335B">
        <w:t>workpaper</w:t>
      </w:r>
      <w:proofErr w:type="spellEnd"/>
      <w:r w:rsidR="005C335B">
        <w:t xml:space="preserve"> update</w:t>
      </w:r>
      <w:r w:rsidR="00E2096A">
        <w:t xml:space="preserve"> without deviations - see Savings Calculations for details</w:t>
      </w:r>
    </w:p>
  </w:comment>
  <w:comment w:id="37" w:author="Andres Fergadiotti" w:date="2018-04-18T13:23:00Z" w:initials="AF">
    <w:p w14:paraId="1C8CE506" w14:textId="477B1A44" w:rsidR="002859E2" w:rsidRDefault="002859E2">
      <w:pPr>
        <w:pStyle w:val="CommentText"/>
      </w:pPr>
      <w:r>
        <w:rPr>
          <w:rStyle w:val="CommentReference"/>
        </w:rPr>
        <w:annotationRef/>
      </w:r>
      <w:r>
        <w:t xml:space="preserve">For SFM, turnover rate per date are based on </w:t>
      </w:r>
      <w:proofErr w:type="spellStart"/>
      <w:r>
        <w:t>InDEE</w:t>
      </w:r>
      <w:proofErr w:type="spellEnd"/>
      <w:r>
        <w:t xml:space="preserve"> study.  Refer to page 24 in </w:t>
      </w:r>
      <w:proofErr w:type="spellStart"/>
      <w:r>
        <w:t>workpaper</w:t>
      </w:r>
      <w:proofErr w:type="spellEnd"/>
    </w:p>
    <w:p w14:paraId="52CAC1D6" w14:textId="77777777" w:rsidR="002859E2" w:rsidRDefault="002859E2">
      <w:pPr>
        <w:pStyle w:val="CommentText"/>
      </w:pPr>
    </w:p>
    <w:p w14:paraId="54415D9F" w14:textId="643ADFDC" w:rsidR="002859E2" w:rsidRDefault="002859E2">
      <w:pPr>
        <w:pStyle w:val="CommentText"/>
      </w:pPr>
      <w:r>
        <w:rPr>
          <w:noProof/>
        </w:rPr>
        <w:drawing>
          <wp:inline distT="0" distB="0" distL="0" distR="0" wp14:anchorId="5A946A87" wp14:editId="07015D59">
            <wp:extent cx="2501628" cy="60723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613597" cy="634413"/>
                    </a:xfrm>
                    <a:prstGeom prst="rect">
                      <a:avLst/>
                    </a:prstGeom>
                  </pic:spPr>
                </pic:pic>
              </a:graphicData>
            </a:graphic>
          </wp:inline>
        </w:drawing>
      </w:r>
    </w:p>
  </w:comment>
  <w:comment w:id="38" w:author="Andres Fergadiotti" w:date="2018-04-18T13:28:00Z" w:initials="AF">
    <w:p w14:paraId="3ECBFFB0" w14:textId="62A2FED8" w:rsidR="00282F2A" w:rsidRPr="00282F2A" w:rsidRDefault="00282F2A" w:rsidP="00282F2A">
      <w:pPr>
        <w:pStyle w:val="ListParagraph"/>
        <w:spacing w:after="160" w:line="259" w:lineRule="auto"/>
        <w:ind w:left="0"/>
      </w:pPr>
      <w:r w:rsidRPr="00282F2A">
        <w:rPr>
          <w:rStyle w:val="CommentReference"/>
        </w:rPr>
        <w:annotationRef/>
      </w:r>
      <w:r w:rsidRPr="00282F2A">
        <w:t>Confirmation that existing pump still operational by collecting filtration settings (start/end schedule/times); volumetric flowrate (</w:t>
      </w:r>
      <w:proofErr w:type="spellStart"/>
      <w:r w:rsidRPr="00282F2A">
        <w:t>gpm</w:t>
      </w:r>
      <w:proofErr w:type="spellEnd"/>
      <w:r w:rsidRPr="00282F2A">
        <w:t>); and wattage (Watts) - SCE’s addresses this data gathering requirement at the Program level, under Program requirements.</w:t>
      </w:r>
    </w:p>
  </w:comment>
  <w:comment w:id="39" w:author="Andres Fergadiotti" w:date="2018-04-18T13:26:00Z" w:initials="AF">
    <w:p w14:paraId="3DD8BCB3" w14:textId="2C90999C" w:rsidR="00282F2A" w:rsidRDefault="00282F2A" w:rsidP="00282F2A">
      <w:pPr>
        <w:pStyle w:val="CommentText"/>
      </w:pPr>
      <w:r>
        <w:rPr>
          <w:rStyle w:val="CommentReference"/>
        </w:rPr>
        <w:annotationRef/>
      </w:r>
      <w:r>
        <w:t>Confirmation that existing pump will be disposed - SCE’s addresses this data gathering requirement at the Program level, under T&amp;C acknowledgement</w:t>
      </w:r>
    </w:p>
    <w:p w14:paraId="121D9945" w14:textId="148DA264" w:rsidR="00282F2A" w:rsidRDefault="00282F2A">
      <w:pPr>
        <w:pStyle w:val="CommentText"/>
      </w:pPr>
    </w:p>
  </w:comment>
  <w:comment w:id="40" w:author="Andres Fergadiotti" w:date="2018-04-16T08:52:00Z" w:initials="AF">
    <w:p w14:paraId="459E9237" w14:textId="3AE29740" w:rsidR="00AE6395" w:rsidRDefault="00AE6395">
      <w:pPr>
        <w:pStyle w:val="CommentText"/>
      </w:pPr>
      <w:r>
        <w:rPr>
          <w:rStyle w:val="CommentReference"/>
        </w:rPr>
        <w:annotationRef/>
      </w:r>
      <w:r w:rsidR="00A2507D">
        <w:t xml:space="preserve">Per Disposition, </w:t>
      </w:r>
      <w:r>
        <w:t>Measure B</w:t>
      </w:r>
      <w:r w:rsidR="00A2507D">
        <w:t xml:space="preserve"> (PM-98422) approved as is.  No adjustments done to measure as part of this update. </w:t>
      </w:r>
    </w:p>
  </w:comment>
  <w:comment w:id="41" w:author="Andres Fergadiotti" w:date="2018-04-18T13:32:00Z" w:initials="AF">
    <w:p w14:paraId="129354C6" w14:textId="506635E3" w:rsidR="007147E1" w:rsidRPr="001A521B" w:rsidRDefault="007147E1">
      <w:pPr>
        <w:pStyle w:val="CommentText"/>
        <w:rPr>
          <w:b/>
        </w:rPr>
      </w:pPr>
      <w:r>
        <w:rPr>
          <w:rStyle w:val="CommentReference"/>
        </w:rPr>
        <w:annotationRef/>
      </w:r>
      <w:r w:rsidR="001A521B" w:rsidRPr="007147E1">
        <w:rPr>
          <w:b/>
        </w:rPr>
        <w:t xml:space="preserve">For single-speed baseline measures, SCE’s DI and </w:t>
      </w:r>
      <w:r w:rsidR="003E3114">
        <w:rPr>
          <w:b/>
        </w:rPr>
        <w:t xml:space="preserve">DI with </w:t>
      </w:r>
      <w:r w:rsidR="001A521B" w:rsidRPr="007147E1">
        <w:rPr>
          <w:b/>
        </w:rPr>
        <w:t>Downstream</w:t>
      </w:r>
      <w:r w:rsidR="003E3114">
        <w:rPr>
          <w:b/>
        </w:rPr>
        <w:t xml:space="preserve"> incentive</w:t>
      </w:r>
      <w:r w:rsidR="001A521B" w:rsidRPr="007147E1">
        <w:rPr>
          <w:b/>
        </w:rPr>
        <w:t xml:space="preserve"> support verification of existing conditions (e.g. single-speed) using trained/approved 3</w:t>
      </w:r>
      <w:r w:rsidR="001A521B" w:rsidRPr="007147E1">
        <w:rPr>
          <w:b/>
          <w:vertAlign w:val="superscript"/>
        </w:rPr>
        <w:t>rd</w:t>
      </w:r>
      <w:r w:rsidR="001A521B" w:rsidRPr="007147E1">
        <w:rPr>
          <w:b/>
        </w:rPr>
        <w:t xml:space="preserve"> party contractor with POE</w:t>
      </w:r>
      <w:r w:rsidR="001A521B">
        <w:rPr>
          <w:b/>
        </w:rPr>
        <w:t>.</w:t>
      </w:r>
    </w:p>
  </w:comment>
  <w:comment w:id="42" w:author="Andres Fergadiotti" w:date="2018-04-16T08:53:00Z" w:initials="AF">
    <w:p w14:paraId="3FB4C336" w14:textId="132E4596" w:rsidR="00AE6395" w:rsidRDefault="00AE6395">
      <w:pPr>
        <w:pStyle w:val="CommentText"/>
      </w:pPr>
      <w:r>
        <w:rPr>
          <w:rStyle w:val="CommentReference"/>
        </w:rPr>
        <w:annotationRef/>
      </w:r>
      <w:proofErr w:type="spellStart"/>
      <w:r>
        <w:t>Workpaper</w:t>
      </w:r>
      <w:proofErr w:type="spellEnd"/>
      <w:r w:rsidR="006D747E">
        <w:t xml:space="preserve"> supports </w:t>
      </w:r>
      <w:r w:rsidR="003E3114">
        <w:t xml:space="preserve">IOU weighted average of </w:t>
      </w:r>
      <w:r>
        <w:t>27,527 gallons</w:t>
      </w:r>
      <w:r w:rsidR="006D747E">
        <w:t xml:space="preserve"> using SCE’s study</w:t>
      </w:r>
      <w:r w:rsidR="003E3114">
        <w:t xml:space="preserve"> which is more concervative</w:t>
      </w:r>
      <w:bookmarkStart w:id="43" w:name="_GoBack"/>
      <w:bookmarkEnd w:id="43"/>
    </w:p>
  </w:comment>
  <w:comment w:id="44" w:author="Andres Fergadiotti" w:date="2018-04-17T07:02:00Z" w:initials="AF">
    <w:p w14:paraId="5B6E013B" w14:textId="08045D97" w:rsidR="00D628A2" w:rsidRDefault="00D628A2">
      <w:pPr>
        <w:pStyle w:val="CommentText"/>
      </w:pPr>
      <w:r>
        <w:rPr>
          <w:rStyle w:val="CommentReference"/>
        </w:rPr>
        <w:annotationRef/>
      </w:r>
      <w:r>
        <w:t>Adopted</w:t>
      </w:r>
      <w:r w:rsidR="006D747E">
        <w:t xml:space="preserve"> without deviations</w:t>
      </w:r>
    </w:p>
  </w:comment>
  <w:comment w:id="45" w:author="Andres Fergadiotti" w:date="2018-04-16T08:54:00Z" w:initials="AF">
    <w:p w14:paraId="235CF8EF" w14:textId="1F78FCB2" w:rsidR="00AE6395" w:rsidRDefault="00AE6395">
      <w:pPr>
        <w:pStyle w:val="CommentText"/>
      </w:pPr>
      <w:r>
        <w:rPr>
          <w:rStyle w:val="CommentReference"/>
        </w:rPr>
        <w:annotationRef/>
      </w:r>
      <w:r w:rsidR="00997C4E">
        <w:t>All input parameters adopted without deviation</w:t>
      </w:r>
    </w:p>
  </w:comment>
  <w:comment w:id="46" w:author="Andres Fergadiotti" w:date="2018-04-16T08:55:00Z" w:initials="AF">
    <w:p w14:paraId="421321BB" w14:textId="587C236F" w:rsidR="00AE6395" w:rsidRPr="00997C4E" w:rsidRDefault="00AE6395">
      <w:pPr>
        <w:pStyle w:val="CommentText"/>
        <w:rPr>
          <w:b/>
        </w:rPr>
      </w:pPr>
      <w:r>
        <w:rPr>
          <w:rStyle w:val="CommentReference"/>
        </w:rPr>
        <w:annotationRef/>
      </w:r>
      <w:r w:rsidR="00997C4E" w:rsidRPr="007147E1">
        <w:rPr>
          <w:b/>
        </w:rPr>
        <w:t>For single-speed baseline measures, SCE’s DI and Downstream support verification of existing conditions (e.g. single-speed) using trained/approved 3</w:t>
      </w:r>
      <w:r w:rsidR="00997C4E" w:rsidRPr="007147E1">
        <w:rPr>
          <w:b/>
          <w:vertAlign w:val="superscript"/>
        </w:rPr>
        <w:t>rd</w:t>
      </w:r>
      <w:r w:rsidR="00997C4E" w:rsidRPr="007147E1">
        <w:rPr>
          <w:b/>
        </w:rPr>
        <w:t xml:space="preserve"> party contractor with POE</w:t>
      </w:r>
      <w:r w:rsidR="00997C4E">
        <w:rPr>
          <w:b/>
        </w:rPr>
        <w:t>.</w:t>
      </w:r>
    </w:p>
  </w:comment>
  <w:comment w:id="47" w:author="Andres Fergadiotti" w:date="2018-04-18T13:38:00Z" w:initials="AF">
    <w:p w14:paraId="4FC0D2CE" w14:textId="3EAA108E" w:rsidR="00170CD7" w:rsidRDefault="00170CD7">
      <w:pPr>
        <w:pStyle w:val="CommentText"/>
      </w:pPr>
      <w:r>
        <w:rPr>
          <w:rStyle w:val="CommentReference"/>
        </w:rPr>
        <w:annotationRef/>
      </w:r>
      <w:r>
        <w:t>AR replacement measure for MFM supported with both 1</w:t>
      </w:r>
      <w:r w:rsidRPr="00170CD7">
        <w:rPr>
          <w:vertAlign w:val="superscript"/>
        </w:rPr>
        <w:t>st</w:t>
      </w:r>
      <w:r>
        <w:t xml:space="preserve"> baseline (existing to measure) and 2</w:t>
      </w:r>
      <w:r w:rsidRPr="00170CD7">
        <w:rPr>
          <w:vertAlign w:val="superscript"/>
        </w:rPr>
        <w:t>nd</w:t>
      </w:r>
      <w:r>
        <w:t xml:space="preserve"> baseline (Standard/2-speed to measure)</w:t>
      </w:r>
    </w:p>
  </w:comment>
  <w:comment w:id="50" w:author="Andres Fergadiotti" w:date="2018-04-18T13:40:00Z" w:initials="AF">
    <w:p w14:paraId="5B57D18B" w14:textId="74866B99" w:rsidR="00191C71" w:rsidRDefault="00191C71">
      <w:pPr>
        <w:pStyle w:val="CommentText"/>
      </w:pPr>
      <w:r>
        <w:rPr>
          <w:rStyle w:val="CommentReference"/>
        </w:rPr>
        <w:annotationRef/>
      </w:r>
      <w:r>
        <w:t>Cost updated per disposition guidance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8F6F35" w15:done="0"/>
  <w15:commentEx w15:paraId="471C05BC" w15:done="0"/>
  <w15:commentEx w15:paraId="50E07BA5" w15:done="0"/>
  <w15:commentEx w15:paraId="0F0D8193" w15:done="0"/>
  <w15:commentEx w15:paraId="54415D9F" w15:done="0"/>
  <w15:commentEx w15:paraId="3ECBFFB0" w15:done="0"/>
  <w15:commentEx w15:paraId="121D9945" w15:done="0"/>
  <w15:commentEx w15:paraId="459E9237" w15:done="0"/>
  <w15:commentEx w15:paraId="129354C6" w15:done="0"/>
  <w15:commentEx w15:paraId="3FB4C336" w15:done="0"/>
  <w15:commentEx w15:paraId="5B6E013B" w15:done="0"/>
  <w15:commentEx w15:paraId="235CF8EF" w15:done="0"/>
  <w15:commentEx w15:paraId="421321BB" w15:done="0"/>
  <w15:commentEx w15:paraId="4FC0D2CE" w15:done="0"/>
  <w15:commentEx w15:paraId="5B57D1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CAC66" w14:textId="77777777" w:rsidR="009C72A8" w:rsidRDefault="009C72A8" w:rsidP="000E70A1">
      <w:pPr>
        <w:spacing w:after="0" w:line="240" w:lineRule="auto"/>
      </w:pPr>
      <w:r>
        <w:separator/>
      </w:r>
    </w:p>
  </w:endnote>
  <w:endnote w:type="continuationSeparator" w:id="0">
    <w:p w14:paraId="2DEECF72" w14:textId="77777777" w:rsidR="009C72A8" w:rsidRDefault="009C72A8"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87046" w14:textId="77777777" w:rsidR="00A51B9B" w:rsidRPr="007B4BBF" w:rsidRDefault="00A51B9B" w:rsidP="00C0532D">
    <w:pPr>
      <w:pStyle w:val="Footer"/>
      <w:rPr>
        <w:sz w:val="18"/>
        <w:szCs w:val="18"/>
      </w:rPr>
    </w:pPr>
    <w:r w:rsidRPr="007B4BBF">
      <w:rPr>
        <w:sz w:val="18"/>
        <w:szCs w:val="18"/>
      </w:rPr>
      <w:tab/>
    </w:r>
    <w:proofErr w:type="gramStart"/>
    <w:r w:rsidRPr="007B4BBF">
      <w:rPr>
        <w:sz w:val="18"/>
        <w:szCs w:val="18"/>
      </w:rPr>
      <w:t>page</w:t>
    </w:r>
    <w:proofErr w:type="gramEnd"/>
    <w:r w:rsidRPr="007B4BBF">
      <w:rPr>
        <w:sz w:val="18"/>
        <w:szCs w:val="18"/>
      </w:rPr>
      <w:t xml:space="preserv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3E3114">
      <w:rPr>
        <w:noProof/>
        <w:sz w:val="18"/>
        <w:szCs w:val="18"/>
      </w:rPr>
      <w:t>7</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3E3114">
      <w:rPr>
        <w:noProof/>
        <w:sz w:val="18"/>
        <w:szCs w:val="18"/>
      </w:rPr>
      <w:t>7</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352C" w14:textId="77777777" w:rsidR="00A51B9B" w:rsidRDefault="00A51B9B">
    <w:pPr>
      <w:pStyle w:val="Footer"/>
    </w:pPr>
    <w:r>
      <w:tab/>
    </w:r>
    <w:proofErr w:type="gramStart"/>
    <w:r>
      <w:t>page</w:t>
    </w:r>
    <w:proofErr w:type="gramEnd"/>
    <w:r>
      <w:t xml:space="preserve"> </w:t>
    </w:r>
    <w:r>
      <w:fldChar w:fldCharType="begin"/>
    </w:r>
    <w:r>
      <w:instrText xml:space="preserve"> PAGE  \* Arabic  \* MERGEFORMAT </w:instrText>
    </w:r>
    <w:r>
      <w:fldChar w:fldCharType="separate"/>
    </w:r>
    <w:r w:rsidR="003E3114">
      <w:rPr>
        <w:noProof/>
      </w:rPr>
      <w:t>1</w:t>
    </w:r>
    <w:r>
      <w:fldChar w:fldCharType="end"/>
    </w:r>
    <w:r>
      <w:t xml:space="preserve"> of </w:t>
    </w:r>
    <w:fldSimple w:instr=" NUMPAGES   \* MERGEFORMAT ">
      <w:r w:rsidR="003E3114">
        <w:rPr>
          <w:noProof/>
        </w:rPr>
        <w:t>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72581" w14:textId="77777777" w:rsidR="009C72A8" w:rsidRDefault="009C72A8" w:rsidP="000E70A1">
      <w:pPr>
        <w:spacing w:after="0" w:line="240" w:lineRule="auto"/>
      </w:pPr>
      <w:r>
        <w:separator/>
      </w:r>
    </w:p>
  </w:footnote>
  <w:footnote w:type="continuationSeparator" w:id="0">
    <w:p w14:paraId="39B26DFE" w14:textId="77777777" w:rsidR="009C72A8" w:rsidRDefault="009C72A8" w:rsidP="000E70A1">
      <w:pPr>
        <w:spacing w:after="0" w:line="240" w:lineRule="auto"/>
      </w:pPr>
      <w:r>
        <w:continuationSeparator/>
      </w:r>
    </w:p>
  </w:footnote>
  <w:footnote w:id="1">
    <w:p w14:paraId="48C83030" w14:textId="77777777" w:rsidR="00A51B9B" w:rsidRDefault="00A51B9B" w:rsidP="00B444A5">
      <w:pPr>
        <w:pStyle w:val="FootnoteText"/>
      </w:pPr>
      <w:r>
        <w:rPr>
          <w:rStyle w:val="FootnoteReference"/>
        </w:rPr>
        <w:footnoteRef/>
      </w:r>
      <w:r>
        <w:t xml:space="preserve"> Title 20- CEC Appliance Efficiency Regulations </w:t>
      </w:r>
      <w:r w:rsidRPr="007F2EFD">
        <w:t>Section 1605.3(g) (5)</w:t>
      </w:r>
      <w:r>
        <w:t xml:space="preserve">.  In addition to pump and motor combinations, 2-speed pump controller requirements started in January 2008 and 2-speed pool pump motors have been required since </w:t>
      </w:r>
      <w:r>
        <w:rPr>
          <w:rStyle w:val="Heading1Char"/>
          <w:b w:val="0"/>
          <w:sz w:val="20"/>
        </w:rPr>
        <w:t xml:space="preserve">January 1, 2010.  </w:t>
      </w:r>
    </w:p>
  </w:footnote>
  <w:footnote w:id="2">
    <w:p w14:paraId="42ED871E" w14:textId="77777777" w:rsidR="00A51B9B" w:rsidRDefault="00A51B9B">
      <w:pPr>
        <w:pStyle w:val="FootnoteText"/>
      </w:pPr>
      <w:r>
        <w:rPr>
          <w:rStyle w:val="FootnoteReference"/>
        </w:rPr>
        <w:footnoteRef/>
      </w:r>
      <w:r>
        <w:t xml:space="preserve"> </w:t>
      </w:r>
      <w:r>
        <w:rPr>
          <w:rStyle w:val="Heading1Char"/>
          <w:b w:val="0"/>
          <w:sz w:val="20"/>
        </w:rPr>
        <w:t xml:space="preserve">Regarding the 95% / 5% split, the </w:t>
      </w:r>
      <w:proofErr w:type="spellStart"/>
      <w:r>
        <w:rPr>
          <w:rStyle w:val="Heading1Char"/>
          <w:b w:val="0"/>
          <w:sz w:val="20"/>
        </w:rPr>
        <w:t>workpaper</w:t>
      </w:r>
      <w:proofErr w:type="spellEnd"/>
      <w:r>
        <w:rPr>
          <w:rStyle w:val="Heading1Char"/>
          <w:b w:val="0"/>
          <w:sz w:val="20"/>
        </w:rPr>
        <w:t xml:space="preserve"> states, “t</w:t>
      </w:r>
      <w:r w:rsidRPr="00012EC0">
        <w:rPr>
          <w:rStyle w:val="Heading1Char"/>
          <w:b w:val="0"/>
          <w:sz w:val="20"/>
        </w:rPr>
        <w:t>hese percentages are conservative estimates from SCE based upon l</w:t>
      </w:r>
      <w:r>
        <w:rPr>
          <w:rStyle w:val="Heading1Char"/>
          <w:b w:val="0"/>
          <w:sz w:val="20"/>
        </w:rPr>
        <w:t>ikely market penetration of two-</w:t>
      </w:r>
      <w:r w:rsidRPr="00012EC0">
        <w:rPr>
          <w:rStyle w:val="Heading1Char"/>
          <w:b w:val="0"/>
          <w:sz w:val="20"/>
        </w:rPr>
        <w:t>speed pumps after roughly one and one half years"</w:t>
      </w:r>
      <w:r>
        <w:rPr>
          <w:rStyle w:val="Heading1Char"/>
          <w:b w:val="0"/>
          <w:sz w:val="20"/>
        </w:rPr>
        <w:t xml:space="preserve"> (page 3).</w:t>
      </w:r>
      <w:r w:rsidRPr="00012EC0">
        <w:rPr>
          <w:rStyle w:val="Heading1Char"/>
          <w:b w:val="0"/>
          <w:sz w:val="20"/>
        </w:rPr>
        <w:t xml:space="preserve">  </w:t>
      </w:r>
    </w:p>
  </w:footnote>
  <w:footnote w:id="3">
    <w:p w14:paraId="2D655008" w14:textId="77777777" w:rsidR="00A51B9B" w:rsidRDefault="00A51B9B" w:rsidP="00657BCE">
      <w:pPr>
        <w:pStyle w:val="FootnoteText"/>
      </w:pPr>
      <w:r>
        <w:rPr>
          <w:rStyle w:val="FootnoteReference"/>
        </w:rPr>
        <w:footnoteRef/>
      </w:r>
      <w:r>
        <w:t xml:space="preserve"> WPSCREWP0001 Revision 4, dated December 7, 2010.</w:t>
      </w:r>
    </w:p>
  </w:footnote>
  <w:footnote w:id="4">
    <w:p w14:paraId="22BC1D59" w14:textId="77777777" w:rsidR="00A51B9B" w:rsidRDefault="00A51B9B">
      <w:pPr>
        <w:pStyle w:val="FootnoteText"/>
      </w:pPr>
      <w:r w:rsidRPr="00F26C60">
        <w:rPr>
          <w:rStyle w:val="FootnoteReference"/>
        </w:rPr>
        <w:footnoteRef/>
      </w:r>
      <w:r w:rsidRPr="00F26C60">
        <w:t xml:space="preserve"> SCE13WP001.3, Attachment 2, EC&amp;C database.xls.  Tab: Analysis, column B “HP”, column K “Pool Size”, and column L “Turnover”. Out of 674 pools, 8.3% were served by filter pumps less than 1 HP (56 pools). 78% of these pools (44) did not meet program assumptions regarding 1 turnover per day.  Therefore, only 12 of 674 pools (less than 2%) were operating with a filter pump less than 1 HP at the turnover rate assumed in the </w:t>
      </w:r>
      <w:proofErr w:type="spellStart"/>
      <w:r w:rsidRPr="00F26C60">
        <w:t>workpaper</w:t>
      </w:r>
      <w:proofErr w:type="spellEnd"/>
      <w:r w:rsidRPr="00F26C60">
        <w:t>.</w:t>
      </w:r>
      <w:r>
        <w:t xml:space="preserve">  </w:t>
      </w:r>
    </w:p>
  </w:footnote>
  <w:footnote w:id="5">
    <w:p w14:paraId="25BE9C07" w14:textId="77777777" w:rsidR="00A51B9B" w:rsidRDefault="00A51B9B" w:rsidP="006851A1">
      <w:pPr>
        <w:pStyle w:val="FootnoteText"/>
      </w:pPr>
      <w:r>
        <w:rPr>
          <w:rStyle w:val="FootnoteReference"/>
        </w:rPr>
        <w:footnoteRef/>
      </w:r>
      <w:r>
        <w:t xml:space="preserve"> The swimming pool volumes are an average of the per-pump pool volumes in SCE’s data combined with the 2 pools referenced in the SDG&amp;E M&amp;V report.  Wading and spa volumes are the average of the SCE multi-family data provided in SCE17WP009.0 which had baseline pumps of 1 HP or larger.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FA7AD" w14:textId="77777777" w:rsidR="00A51B9B" w:rsidRPr="007B4BBF" w:rsidRDefault="00A51B9B" w:rsidP="003C17B2">
    <w:pPr>
      <w:pStyle w:val="Header"/>
      <w:rPr>
        <w:sz w:val="18"/>
        <w:szCs w:val="18"/>
      </w:rPr>
    </w:pPr>
    <w:r>
      <w:rPr>
        <w:sz w:val="18"/>
        <w:szCs w:val="18"/>
      </w:rPr>
      <w:fldChar w:fldCharType="begin"/>
    </w:r>
    <w:r>
      <w:rPr>
        <w:sz w:val="18"/>
        <w:szCs w:val="18"/>
      </w:rPr>
      <w:instrText xml:space="preserve"> STYLEREF  Title  \* MERGEFORMAT </w:instrText>
    </w:r>
    <w:r>
      <w:rPr>
        <w:sz w:val="18"/>
        <w:szCs w:val="18"/>
      </w:rPr>
      <w:fldChar w:fldCharType="separate"/>
    </w:r>
    <w:r w:rsidR="003E3114" w:rsidRPr="003E3114">
      <w:rPr>
        <w:b/>
        <w:bCs/>
        <w:noProof/>
        <w:sz w:val="18"/>
        <w:szCs w:val="18"/>
      </w:rPr>
      <w:t>FOR WORKPAPERS</w:t>
    </w:r>
    <w:r w:rsidR="003E3114">
      <w:rPr>
        <w:noProof/>
        <w:sz w:val="18"/>
        <w:szCs w:val="18"/>
      </w:rPr>
      <w:t xml:space="preserve"> COVERING RESIDENTIAL VARIABLE SPEED POOL PUMPS</w:t>
    </w:r>
    <w:r>
      <w:rPr>
        <w:sz w:val="18"/>
        <w:szCs w:val="18"/>
      </w:rPr>
      <w:fldChar w:fldCharType="end"/>
    </w:r>
  </w:p>
  <w:p w14:paraId="19B05BBC" w14:textId="77777777" w:rsidR="00A51B9B" w:rsidRDefault="00A51B9B" w:rsidP="00C0532D">
    <w:pPr>
      <w:pStyle w:val="Header"/>
      <w:rPr>
        <w:sz w:val="18"/>
        <w:szCs w:val="18"/>
      </w:rPr>
    </w:pPr>
    <w:r>
      <w:rPr>
        <w:sz w:val="18"/>
        <w:szCs w:val="18"/>
      </w:rPr>
      <w:fldChar w:fldCharType="begin"/>
    </w:r>
    <w:r>
      <w:rPr>
        <w:sz w:val="18"/>
        <w:szCs w:val="18"/>
      </w:rPr>
      <w:instrText xml:space="preserve"> STYLEREF  Subtitle  \* MERGEFORMAT </w:instrText>
    </w:r>
    <w:r>
      <w:rPr>
        <w:sz w:val="18"/>
        <w:szCs w:val="18"/>
      </w:rPr>
      <w:fldChar w:fldCharType="separate"/>
    </w:r>
    <w:r w:rsidR="003E3114">
      <w:rPr>
        <w:noProof/>
        <w:sz w:val="18"/>
        <w:szCs w:val="18"/>
      </w:rPr>
      <w:t>California Public Utilities Commission, Energy Division</w:t>
    </w:r>
    <w:r>
      <w:rPr>
        <w:sz w:val="18"/>
        <w:szCs w:val="18"/>
      </w:rPr>
      <w:fldChar w:fldCharType="end"/>
    </w:r>
  </w:p>
  <w:p w14:paraId="1DBC0481" w14:textId="77777777" w:rsidR="00A51B9B" w:rsidRDefault="00A51B9B" w:rsidP="00C0532D">
    <w:pPr>
      <w:pStyle w:val="Header"/>
      <w:rPr>
        <w:sz w:val="18"/>
        <w:szCs w:val="18"/>
      </w:rPr>
    </w:pPr>
    <w:r>
      <w:rPr>
        <w:sz w:val="18"/>
        <w:szCs w:val="18"/>
      </w:rPr>
      <w:fldChar w:fldCharType="begin"/>
    </w:r>
    <w:r>
      <w:rPr>
        <w:sz w:val="18"/>
        <w:szCs w:val="18"/>
      </w:rPr>
      <w:instrText xml:space="preserve"> STYLEREF  "Disposition Date"  \* MERGEFORMAT </w:instrText>
    </w:r>
    <w:r>
      <w:rPr>
        <w:sz w:val="18"/>
        <w:szCs w:val="18"/>
      </w:rPr>
      <w:fldChar w:fldCharType="separate"/>
    </w:r>
    <w:r w:rsidR="003E3114">
      <w:rPr>
        <w:noProof/>
        <w:sz w:val="18"/>
        <w:szCs w:val="18"/>
      </w:rPr>
      <w:t>March 1, 2017</w:t>
    </w:r>
    <w:r>
      <w:rPr>
        <w:sz w:val="18"/>
        <w:szCs w:val="18"/>
      </w:rPr>
      <w:fldChar w:fldCharType="end"/>
    </w:r>
  </w:p>
  <w:p w14:paraId="51058E19" w14:textId="77777777" w:rsidR="00A51B9B" w:rsidRDefault="00A51B9B" w:rsidP="00C0532D">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15:restartNumberingAfterBreak="0">
    <w:nsid w:val="03480AD1"/>
    <w:multiLevelType w:val="hybridMultilevel"/>
    <w:tmpl w:val="60DA18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2A0B3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cs="Times New Roman" w:hint="default"/>
        <w:b/>
        <w:i w:val="0"/>
        <w:sz w:val="22"/>
      </w:rPr>
    </w:lvl>
    <w:lvl w:ilvl="1">
      <w:start w:val="1"/>
      <w:numFmt w:val="decimal"/>
      <w:pStyle w:val="Heading2"/>
      <w:suff w:val="space"/>
      <w:lvlText w:val="%1.%2."/>
      <w:lvlJc w:val="left"/>
      <w:pPr>
        <w:ind w:left="216" w:hanging="216"/>
      </w:pPr>
      <w:rPr>
        <w:rFonts w:ascii="Calibri" w:hAnsi="Calibri" w:cs="Times New Roman" w:hint="default"/>
        <w:b/>
        <w:i w:val="0"/>
        <w:sz w:val="22"/>
      </w:rPr>
    </w:lvl>
    <w:lvl w:ilvl="2">
      <w:start w:val="1"/>
      <w:numFmt w:val="decimal"/>
      <w:pStyle w:val="Heading3"/>
      <w:suff w:val="space"/>
      <w:lvlText w:val="%1.%2.%3."/>
      <w:lvlJc w:val="left"/>
      <w:pPr>
        <w:ind w:left="720" w:hanging="360"/>
      </w:pPr>
      <w:rPr>
        <w:rFonts w:ascii="Calibri" w:hAnsi="Calibri" w:cs="Times New Roman" w:hint="default"/>
        <w:sz w:val="22"/>
      </w:rPr>
    </w:lvl>
    <w:lvl w:ilvl="3">
      <w:start w:val="1"/>
      <w:numFmt w:val="decimal"/>
      <w:pStyle w:val="Heading4"/>
      <w:suff w:val="space"/>
      <w:lvlText w:val="%1.%2.%3.%4."/>
      <w:lvlJc w:val="left"/>
      <w:pPr>
        <w:ind w:left="1080" w:hanging="360"/>
      </w:pPr>
      <w:rPr>
        <w:rFonts w:ascii="Calibri" w:hAnsi="Calibri" w:cs="Times New Roman" w:hint="default"/>
        <w:sz w:val="22"/>
      </w:rPr>
    </w:lvl>
    <w:lvl w:ilvl="4">
      <w:start w:val="1"/>
      <w:numFmt w:val="decimal"/>
      <w:pStyle w:val="Heading5"/>
      <w:suff w:val="space"/>
      <w:lvlText w:val="%1.%2.%3.%4.%5."/>
      <w:lvlJc w:val="left"/>
      <w:pPr>
        <w:ind w:left="1440" w:hanging="360"/>
      </w:pPr>
      <w:rPr>
        <w:rFonts w:ascii="Calibri" w:hAnsi="Calibri" w:cs="Times New Roman" w:hint="default"/>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15:restartNumberingAfterBreak="0">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8" w15:restartNumberingAfterBreak="0">
    <w:nsid w:val="1AC23B0C"/>
    <w:multiLevelType w:val="hybridMultilevel"/>
    <w:tmpl w:val="FC66960E"/>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9" w15:restartNumberingAfterBreak="0">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15:restartNumberingAfterBreak="0">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C997D4A"/>
    <w:multiLevelType w:val="multilevel"/>
    <w:tmpl w:val="480422CA"/>
    <w:numStyleLink w:val="Dispositions"/>
  </w:abstractNum>
  <w:abstractNum w:abstractNumId="15" w15:restartNumberingAfterBreak="0">
    <w:nsid w:val="45050188"/>
    <w:multiLevelType w:val="hybridMultilevel"/>
    <w:tmpl w:val="ED6275C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D6F735A"/>
    <w:multiLevelType w:val="hybridMultilevel"/>
    <w:tmpl w:val="46300F2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15:restartNumberingAfterBreak="0">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56607526"/>
    <w:multiLevelType w:val="hybridMultilevel"/>
    <w:tmpl w:val="FD08C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BAE3DC0"/>
    <w:multiLevelType w:val="hybridMultilevel"/>
    <w:tmpl w:val="54B05C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F100A0E"/>
    <w:multiLevelType w:val="multilevel"/>
    <w:tmpl w:val="480422CA"/>
    <w:numStyleLink w:val="Dispositions"/>
  </w:abstractNum>
  <w:abstractNum w:abstractNumId="28" w15:restartNumberingAfterBreak="0">
    <w:nsid w:val="739A19B6"/>
    <w:multiLevelType w:val="multilevel"/>
    <w:tmpl w:val="480422CA"/>
    <w:numStyleLink w:val="Dispositions"/>
  </w:abstractNum>
  <w:abstractNum w:abstractNumId="29" w15:restartNumberingAfterBreak="0">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0" w15:restartNumberingAfterBreak="0">
    <w:nsid w:val="78DC5A1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7BB51ABA"/>
    <w:multiLevelType w:val="multilevel"/>
    <w:tmpl w:val="480422CA"/>
    <w:numStyleLink w:val="Dispositions"/>
  </w:abstractNum>
  <w:abstractNum w:abstractNumId="32" w15:restartNumberingAfterBreak="0">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FBD478B"/>
    <w:multiLevelType w:val="hybridMultilevel"/>
    <w:tmpl w:val="BD90F4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9"/>
  </w:num>
  <w:num w:numId="3">
    <w:abstractNumId w:val="24"/>
  </w:num>
  <w:num w:numId="4">
    <w:abstractNumId w:val="11"/>
  </w:num>
  <w:num w:numId="5">
    <w:abstractNumId w:val="32"/>
  </w:num>
  <w:num w:numId="6">
    <w:abstractNumId w:val="5"/>
  </w:num>
  <w:num w:numId="7">
    <w:abstractNumId w:val="26"/>
  </w:num>
  <w:num w:numId="8">
    <w:abstractNumId w:val="20"/>
  </w:num>
  <w:num w:numId="9">
    <w:abstractNumId w:val="16"/>
  </w:num>
  <w:num w:numId="10">
    <w:abstractNumId w:val="12"/>
  </w:num>
  <w:num w:numId="11">
    <w:abstractNumId w:val="10"/>
  </w:num>
  <w:num w:numId="12">
    <w:abstractNumId w:val="29"/>
  </w:num>
  <w:num w:numId="13">
    <w:abstractNumId w:val="21"/>
  </w:num>
  <w:num w:numId="14">
    <w:abstractNumId w:val="7"/>
  </w:num>
  <w:num w:numId="15">
    <w:abstractNumId w:val="9"/>
  </w:num>
  <w:num w:numId="16">
    <w:abstractNumId w:val="1"/>
  </w:num>
  <w:num w:numId="17">
    <w:abstractNumId w:val="23"/>
  </w:num>
  <w:num w:numId="18">
    <w:abstractNumId w:val="6"/>
  </w:num>
  <w:num w:numId="19">
    <w:abstractNumId w:val="13"/>
  </w:num>
  <w:num w:numId="20">
    <w:abstractNumId w:val="18"/>
  </w:num>
  <w:num w:numId="21">
    <w:abstractNumId w:val="30"/>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
  </w:num>
  <w:num w:numId="25">
    <w:abstractNumId w:val="31"/>
  </w:num>
  <w:num w:numId="26">
    <w:abstractNumId w:val="27"/>
  </w:num>
  <w:num w:numId="27">
    <w:abstractNumId w:val="14"/>
  </w:num>
  <w:num w:numId="28">
    <w:abstractNumId w:val="28"/>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216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9">
    <w:abstractNumId w:val="28"/>
    <w:lvlOverride w:ilvl="0">
      <w:startOverride w:val="1"/>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startOverride w:va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startOverride w:val="1"/>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startOverride w:val="1"/>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startOverride w:val="1"/>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 w:numId="30">
    <w:abstractNumId w:val="8"/>
  </w:num>
  <w:num w:numId="31">
    <w:abstractNumId w:val="33"/>
  </w:num>
  <w:num w:numId="32">
    <w:abstractNumId w:val="2"/>
  </w:num>
  <w:num w:numId="33">
    <w:abstractNumId w:val="25"/>
  </w:num>
  <w:num w:numId="34">
    <w:abstractNumId w:val="17"/>
  </w:num>
  <w:num w:numId="35">
    <w:abstractNumId w:val="22"/>
  </w:num>
  <w:num w:numId="3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B60"/>
    <w:rsid w:val="00002A25"/>
    <w:rsid w:val="000050BD"/>
    <w:rsid w:val="00012020"/>
    <w:rsid w:val="00012EC0"/>
    <w:rsid w:val="00014D39"/>
    <w:rsid w:val="00015D9B"/>
    <w:rsid w:val="00015EE3"/>
    <w:rsid w:val="00015F65"/>
    <w:rsid w:val="00016B21"/>
    <w:rsid w:val="000227FE"/>
    <w:rsid w:val="00030FB0"/>
    <w:rsid w:val="00033316"/>
    <w:rsid w:val="00034AE8"/>
    <w:rsid w:val="00051079"/>
    <w:rsid w:val="00051CEC"/>
    <w:rsid w:val="0005359D"/>
    <w:rsid w:val="00053FF3"/>
    <w:rsid w:val="0005718D"/>
    <w:rsid w:val="000575E4"/>
    <w:rsid w:val="00057F68"/>
    <w:rsid w:val="000612D4"/>
    <w:rsid w:val="00080E9A"/>
    <w:rsid w:val="00081633"/>
    <w:rsid w:val="00082CA9"/>
    <w:rsid w:val="00086AA1"/>
    <w:rsid w:val="00090AD3"/>
    <w:rsid w:val="00093AF7"/>
    <w:rsid w:val="00094AD0"/>
    <w:rsid w:val="00095567"/>
    <w:rsid w:val="000B33BC"/>
    <w:rsid w:val="000B3A74"/>
    <w:rsid w:val="000B56D4"/>
    <w:rsid w:val="000B5EBE"/>
    <w:rsid w:val="000B6C7F"/>
    <w:rsid w:val="000C544D"/>
    <w:rsid w:val="000C58BB"/>
    <w:rsid w:val="000C6EFD"/>
    <w:rsid w:val="000D04A0"/>
    <w:rsid w:val="000D7703"/>
    <w:rsid w:val="000E70A1"/>
    <w:rsid w:val="000F41A4"/>
    <w:rsid w:val="000F67FC"/>
    <w:rsid w:val="00102ED4"/>
    <w:rsid w:val="00112875"/>
    <w:rsid w:val="00121E27"/>
    <w:rsid w:val="00122B60"/>
    <w:rsid w:val="00124328"/>
    <w:rsid w:val="00126006"/>
    <w:rsid w:val="0012658A"/>
    <w:rsid w:val="00134CD1"/>
    <w:rsid w:val="0014039F"/>
    <w:rsid w:val="001435E5"/>
    <w:rsid w:val="00146BCF"/>
    <w:rsid w:val="00153AA3"/>
    <w:rsid w:val="00153D56"/>
    <w:rsid w:val="00154E04"/>
    <w:rsid w:val="001566B4"/>
    <w:rsid w:val="0016053A"/>
    <w:rsid w:val="001620D5"/>
    <w:rsid w:val="00164F7A"/>
    <w:rsid w:val="00165686"/>
    <w:rsid w:val="00170CD7"/>
    <w:rsid w:val="00177523"/>
    <w:rsid w:val="0018340B"/>
    <w:rsid w:val="001843B2"/>
    <w:rsid w:val="00187B12"/>
    <w:rsid w:val="00191C71"/>
    <w:rsid w:val="001A521B"/>
    <w:rsid w:val="001B1A3A"/>
    <w:rsid w:val="001B4852"/>
    <w:rsid w:val="001C01C3"/>
    <w:rsid w:val="001C2764"/>
    <w:rsid w:val="001C5C1C"/>
    <w:rsid w:val="001C680B"/>
    <w:rsid w:val="001C685F"/>
    <w:rsid w:val="001D14BF"/>
    <w:rsid w:val="001D510E"/>
    <w:rsid w:val="001D7863"/>
    <w:rsid w:val="001D7DD7"/>
    <w:rsid w:val="001E5F48"/>
    <w:rsid w:val="001E7899"/>
    <w:rsid w:val="001F6237"/>
    <w:rsid w:val="0020456B"/>
    <w:rsid w:val="002064B2"/>
    <w:rsid w:val="00207ACE"/>
    <w:rsid w:val="00211839"/>
    <w:rsid w:val="00217D3E"/>
    <w:rsid w:val="00223D23"/>
    <w:rsid w:val="00235ACC"/>
    <w:rsid w:val="002362E9"/>
    <w:rsid w:val="00241C0C"/>
    <w:rsid w:val="00243FA9"/>
    <w:rsid w:val="00245B0F"/>
    <w:rsid w:val="00247947"/>
    <w:rsid w:val="00250B06"/>
    <w:rsid w:val="00252C60"/>
    <w:rsid w:val="00253CD2"/>
    <w:rsid w:val="002545F7"/>
    <w:rsid w:val="00254A14"/>
    <w:rsid w:val="002571E4"/>
    <w:rsid w:val="00257A30"/>
    <w:rsid w:val="00257D5E"/>
    <w:rsid w:val="00257E69"/>
    <w:rsid w:val="0026095A"/>
    <w:rsid w:val="002675AE"/>
    <w:rsid w:val="00272826"/>
    <w:rsid w:val="00273FB3"/>
    <w:rsid w:val="00275859"/>
    <w:rsid w:val="00276B84"/>
    <w:rsid w:val="00280311"/>
    <w:rsid w:val="00282F2A"/>
    <w:rsid w:val="00283390"/>
    <w:rsid w:val="002859E2"/>
    <w:rsid w:val="00286D50"/>
    <w:rsid w:val="0029278F"/>
    <w:rsid w:val="00293C95"/>
    <w:rsid w:val="002A67E5"/>
    <w:rsid w:val="002B0E16"/>
    <w:rsid w:val="002B1119"/>
    <w:rsid w:val="002C0125"/>
    <w:rsid w:val="002C04A3"/>
    <w:rsid w:val="002C0670"/>
    <w:rsid w:val="002C15CC"/>
    <w:rsid w:val="002C7AC6"/>
    <w:rsid w:val="002D3450"/>
    <w:rsid w:val="002E2F58"/>
    <w:rsid w:val="002E695E"/>
    <w:rsid w:val="002F205A"/>
    <w:rsid w:val="002F27DB"/>
    <w:rsid w:val="003013ED"/>
    <w:rsid w:val="003021CB"/>
    <w:rsid w:val="00302301"/>
    <w:rsid w:val="0030463B"/>
    <w:rsid w:val="00310A10"/>
    <w:rsid w:val="00310BA9"/>
    <w:rsid w:val="00320623"/>
    <w:rsid w:val="00322A72"/>
    <w:rsid w:val="00350DB3"/>
    <w:rsid w:val="003630CF"/>
    <w:rsid w:val="00376DEE"/>
    <w:rsid w:val="00377271"/>
    <w:rsid w:val="00383D3A"/>
    <w:rsid w:val="0039305A"/>
    <w:rsid w:val="003A50A1"/>
    <w:rsid w:val="003B4AE7"/>
    <w:rsid w:val="003B6493"/>
    <w:rsid w:val="003C17B2"/>
    <w:rsid w:val="003C3AE9"/>
    <w:rsid w:val="003D6049"/>
    <w:rsid w:val="003E3114"/>
    <w:rsid w:val="003F0162"/>
    <w:rsid w:val="003F1245"/>
    <w:rsid w:val="003F5191"/>
    <w:rsid w:val="003F65F0"/>
    <w:rsid w:val="003F7718"/>
    <w:rsid w:val="0040181E"/>
    <w:rsid w:val="00402EB1"/>
    <w:rsid w:val="004037AC"/>
    <w:rsid w:val="0040649D"/>
    <w:rsid w:val="00410F94"/>
    <w:rsid w:val="004132D9"/>
    <w:rsid w:val="004254DF"/>
    <w:rsid w:val="004274BF"/>
    <w:rsid w:val="00431133"/>
    <w:rsid w:val="00432ABB"/>
    <w:rsid w:val="00433E2E"/>
    <w:rsid w:val="00437E0D"/>
    <w:rsid w:val="0044149E"/>
    <w:rsid w:val="00444535"/>
    <w:rsid w:val="00453E23"/>
    <w:rsid w:val="00454309"/>
    <w:rsid w:val="00455836"/>
    <w:rsid w:val="00470289"/>
    <w:rsid w:val="00487678"/>
    <w:rsid w:val="004923B6"/>
    <w:rsid w:val="00492819"/>
    <w:rsid w:val="00493215"/>
    <w:rsid w:val="004A0776"/>
    <w:rsid w:val="004A74A0"/>
    <w:rsid w:val="004B52F9"/>
    <w:rsid w:val="004B536A"/>
    <w:rsid w:val="004C6585"/>
    <w:rsid w:val="004D03B5"/>
    <w:rsid w:val="004D11A9"/>
    <w:rsid w:val="004D4B7D"/>
    <w:rsid w:val="004D5EBF"/>
    <w:rsid w:val="004E3453"/>
    <w:rsid w:val="004F20F2"/>
    <w:rsid w:val="004F62F9"/>
    <w:rsid w:val="00511CFA"/>
    <w:rsid w:val="00533E15"/>
    <w:rsid w:val="005358EE"/>
    <w:rsid w:val="00536C6F"/>
    <w:rsid w:val="00537A7A"/>
    <w:rsid w:val="00540BB1"/>
    <w:rsid w:val="00550CF1"/>
    <w:rsid w:val="005547E7"/>
    <w:rsid w:val="00554BE5"/>
    <w:rsid w:val="0055704B"/>
    <w:rsid w:val="00562831"/>
    <w:rsid w:val="0057291C"/>
    <w:rsid w:val="00580CC6"/>
    <w:rsid w:val="005833F6"/>
    <w:rsid w:val="005846F6"/>
    <w:rsid w:val="00584753"/>
    <w:rsid w:val="00590C39"/>
    <w:rsid w:val="00591A82"/>
    <w:rsid w:val="00594E3A"/>
    <w:rsid w:val="005975F4"/>
    <w:rsid w:val="005A0498"/>
    <w:rsid w:val="005A1C4D"/>
    <w:rsid w:val="005A7A3F"/>
    <w:rsid w:val="005B033C"/>
    <w:rsid w:val="005B2DB2"/>
    <w:rsid w:val="005B40DD"/>
    <w:rsid w:val="005C335B"/>
    <w:rsid w:val="005C7061"/>
    <w:rsid w:val="005D092D"/>
    <w:rsid w:val="005D1215"/>
    <w:rsid w:val="005E2100"/>
    <w:rsid w:val="005E28A8"/>
    <w:rsid w:val="005E5A55"/>
    <w:rsid w:val="005F0289"/>
    <w:rsid w:val="005F61B9"/>
    <w:rsid w:val="005F6BC9"/>
    <w:rsid w:val="00607F4A"/>
    <w:rsid w:val="006137ED"/>
    <w:rsid w:val="00620FD5"/>
    <w:rsid w:val="0062209E"/>
    <w:rsid w:val="006300B4"/>
    <w:rsid w:val="00633C5E"/>
    <w:rsid w:val="00633C82"/>
    <w:rsid w:val="0064014A"/>
    <w:rsid w:val="0064069F"/>
    <w:rsid w:val="0064141A"/>
    <w:rsid w:val="00643EBE"/>
    <w:rsid w:val="00656F2F"/>
    <w:rsid w:val="0065725B"/>
    <w:rsid w:val="00657BCE"/>
    <w:rsid w:val="00660031"/>
    <w:rsid w:val="00660B27"/>
    <w:rsid w:val="006677EF"/>
    <w:rsid w:val="00671077"/>
    <w:rsid w:val="00674988"/>
    <w:rsid w:val="00675E57"/>
    <w:rsid w:val="0068170E"/>
    <w:rsid w:val="006851A1"/>
    <w:rsid w:val="00687D70"/>
    <w:rsid w:val="0069420A"/>
    <w:rsid w:val="006A4ACA"/>
    <w:rsid w:val="006A6B6F"/>
    <w:rsid w:val="006B45E2"/>
    <w:rsid w:val="006B751F"/>
    <w:rsid w:val="006C566C"/>
    <w:rsid w:val="006D4FCF"/>
    <w:rsid w:val="006D747E"/>
    <w:rsid w:val="006D7BC2"/>
    <w:rsid w:val="006E083D"/>
    <w:rsid w:val="006E7CDA"/>
    <w:rsid w:val="00700804"/>
    <w:rsid w:val="00706DC3"/>
    <w:rsid w:val="007072C0"/>
    <w:rsid w:val="007121DC"/>
    <w:rsid w:val="00712925"/>
    <w:rsid w:val="007147E1"/>
    <w:rsid w:val="00722043"/>
    <w:rsid w:val="0072213E"/>
    <w:rsid w:val="0072405F"/>
    <w:rsid w:val="00726AA5"/>
    <w:rsid w:val="00735549"/>
    <w:rsid w:val="007360E1"/>
    <w:rsid w:val="00736D3E"/>
    <w:rsid w:val="007377AB"/>
    <w:rsid w:val="00740096"/>
    <w:rsid w:val="007420F0"/>
    <w:rsid w:val="00751AE1"/>
    <w:rsid w:val="00752197"/>
    <w:rsid w:val="00754F15"/>
    <w:rsid w:val="00763832"/>
    <w:rsid w:val="00763F00"/>
    <w:rsid w:val="007703D9"/>
    <w:rsid w:val="00771712"/>
    <w:rsid w:val="00774848"/>
    <w:rsid w:val="007757D0"/>
    <w:rsid w:val="00775AE6"/>
    <w:rsid w:val="0077631F"/>
    <w:rsid w:val="007768F5"/>
    <w:rsid w:val="00777942"/>
    <w:rsid w:val="00781765"/>
    <w:rsid w:val="00787105"/>
    <w:rsid w:val="007A39B0"/>
    <w:rsid w:val="007A3BB2"/>
    <w:rsid w:val="007A77C2"/>
    <w:rsid w:val="007B4BBF"/>
    <w:rsid w:val="007C0813"/>
    <w:rsid w:val="007C2ACC"/>
    <w:rsid w:val="007C5817"/>
    <w:rsid w:val="007C6215"/>
    <w:rsid w:val="007D4B9B"/>
    <w:rsid w:val="007D4DDD"/>
    <w:rsid w:val="007D5555"/>
    <w:rsid w:val="007D6A78"/>
    <w:rsid w:val="007E0DEA"/>
    <w:rsid w:val="007F03B1"/>
    <w:rsid w:val="007F05CC"/>
    <w:rsid w:val="007F080E"/>
    <w:rsid w:val="007F2EFD"/>
    <w:rsid w:val="007F4469"/>
    <w:rsid w:val="0080239C"/>
    <w:rsid w:val="0081477F"/>
    <w:rsid w:val="00823CF7"/>
    <w:rsid w:val="008262FE"/>
    <w:rsid w:val="00830377"/>
    <w:rsid w:val="00835058"/>
    <w:rsid w:val="008350A5"/>
    <w:rsid w:val="00836DD6"/>
    <w:rsid w:val="00836E27"/>
    <w:rsid w:val="00840E35"/>
    <w:rsid w:val="00845438"/>
    <w:rsid w:val="008504F1"/>
    <w:rsid w:val="0086193B"/>
    <w:rsid w:val="00862988"/>
    <w:rsid w:val="008774A6"/>
    <w:rsid w:val="00882907"/>
    <w:rsid w:val="0088515F"/>
    <w:rsid w:val="00893C67"/>
    <w:rsid w:val="008A099B"/>
    <w:rsid w:val="008A7CF5"/>
    <w:rsid w:val="008B2D68"/>
    <w:rsid w:val="008B6EA2"/>
    <w:rsid w:val="008C3BD7"/>
    <w:rsid w:val="008C711A"/>
    <w:rsid w:val="008C7F61"/>
    <w:rsid w:val="008E551C"/>
    <w:rsid w:val="008E6B1C"/>
    <w:rsid w:val="008F2DF0"/>
    <w:rsid w:val="008F35F6"/>
    <w:rsid w:val="008F3CE2"/>
    <w:rsid w:val="008F6C5B"/>
    <w:rsid w:val="009047DA"/>
    <w:rsid w:val="0090760C"/>
    <w:rsid w:val="00913B3A"/>
    <w:rsid w:val="00913E7D"/>
    <w:rsid w:val="00916DEE"/>
    <w:rsid w:val="00922A4E"/>
    <w:rsid w:val="00924E8D"/>
    <w:rsid w:val="00932F64"/>
    <w:rsid w:val="00934E05"/>
    <w:rsid w:val="00950B74"/>
    <w:rsid w:val="009608F0"/>
    <w:rsid w:val="00971B21"/>
    <w:rsid w:val="0097224C"/>
    <w:rsid w:val="00975A87"/>
    <w:rsid w:val="0098085C"/>
    <w:rsid w:val="00993C2C"/>
    <w:rsid w:val="009946F9"/>
    <w:rsid w:val="00997A05"/>
    <w:rsid w:val="00997C4E"/>
    <w:rsid w:val="009A0582"/>
    <w:rsid w:val="009A400D"/>
    <w:rsid w:val="009B4E31"/>
    <w:rsid w:val="009C3040"/>
    <w:rsid w:val="009C3051"/>
    <w:rsid w:val="009C72A8"/>
    <w:rsid w:val="009D50D2"/>
    <w:rsid w:val="009F4999"/>
    <w:rsid w:val="00A021FB"/>
    <w:rsid w:val="00A03798"/>
    <w:rsid w:val="00A0471B"/>
    <w:rsid w:val="00A11247"/>
    <w:rsid w:val="00A14E41"/>
    <w:rsid w:val="00A15C83"/>
    <w:rsid w:val="00A21E0E"/>
    <w:rsid w:val="00A24712"/>
    <w:rsid w:val="00A2507D"/>
    <w:rsid w:val="00A32722"/>
    <w:rsid w:val="00A3642D"/>
    <w:rsid w:val="00A36E8C"/>
    <w:rsid w:val="00A40616"/>
    <w:rsid w:val="00A51B9B"/>
    <w:rsid w:val="00A5254E"/>
    <w:rsid w:val="00A56550"/>
    <w:rsid w:val="00A61D93"/>
    <w:rsid w:val="00A64E0C"/>
    <w:rsid w:val="00A71E1C"/>
    <w:rsid w:val="00A7209F"/>
    <w:rsid w:val="00A873F8"/>
    <w:rsid w:val="00A96EE4"/>
    <w:rsid w:val="00AA31E7"/>
    <w:rsid w:val="00AA7059"/>
    <w:rsid w:val="00AB08CD"/>
    <w:rsid w:val="00AB6080"/>
    <w:rsid w:val="00AB68C5"/>
    <w:rsid w:val="00AC1CEB"/>
    <w:rsid w:val="00AC4335"/>
    <w:rsid w:val="00AD2469"/>
    <w:rsid w:val="00AE056F"/>
    <w:rsid w:val="00AE25A2"/>
    <w:rsid w:val="00AE6395"/>
    <w:rsid w:val="00AF2BE8"/>
    <w:rsid w:val="00AF349A"/>
    <w:rsid w:val="00B06998"/>
    <w:rsid w:val="00B12167"/>
    <w:rsid w:val="00B14C8C"/>
    <w:rsid w:val="00B2072B"/>
    <w:rsid w:val="00B26946"/>
    <w:rsid w:val="00B27A91"/>
    <w:rsid w:val="00B35DA5"/>
    <w:rsid w:val="00B379D6"/>
    <w:rsid w:val="00B433BF"/>
    <w:rsid w:val="00B444A5"/>
    <w:rsid w:val="00B469C3"/>
    <w:rsid w:val="00B47583"/>
    <w:rsid w:val="00B51572"/>
    <w:rsid w:val="00B600C6"/>
    <w:rsid w:val="00B702D7"/>
    <w:rsid w:val="00B75D56"/>
    <w:rsid w:val="00B80733"/>
    <w:rsid w:val="00B864D0"/>
    <w:rsid w:val="00B927D8"/>
    <w:rsid w:val="00B948EC"/>
    <w:rsid w:val="00B97C9B"/>
    <w:rsid w:val="00BA0C3E"/>
    <w:rsid w:val="00BA26ED"/>
    <w:rsid w:val="00BB303C"/>
    <w:rsid w:val="00BC0A24"/>
    <w:rsid w:val="00BD3DDF"/>
    <w:rsid w:val="00BD7A08"/>
    <w:rsid w:val="00BE16D9"/>
    <w:rsid w:val="00BE2B49"/>
    <w:rsid w:val="00BE3652"/>
    <w:rsid w:val="00BF3DD5"/>
    <w:rsid w:val="00BF4533"/>
    <w:rsid w:val="00C0532D"/>
    <w:rsid w:val="00C070E5"/>
    <w:rsid w:val="00C10911"/>
    <w:rsid w:val="00C10DC5"/>
    <w:rsid w:val="00C163B5"/>
    <w:rsid w:val="00C26165"/>
    <w:rsid w:val="00C26629"/>
    <w:rsid w:val="00C276EA"/>
    <w:rsid w:val="00C372B8"/>
    <w:rsid w:val="00C37430"/>
    <w:rsid w:val="00C40FE0"/>
    <w:rsid w:val="00C411E6"/>
    <w:rsid w:val="00C42DC7"/>
    <w:rsid w:val="00C46478"/>
    <w:rsid w:val="00C55387"/>
    <w:rsid w:val="00C617DB"/>
    <w:rsid w:val="00C61CBE"/>
    <w:rsid w:val="00C704CD"/>
    <w:rsid w:val="00C745C7"/>
    <w:rsid w:val="00C812A5"/>
    <w:rsid w:val="00C8311F"/>
    <w:rsid w:val="00C83AF7"/>
    <w:rsid w:val="00C84574"/>
    <w:rsid w:val="00CA138C"/>
    <w:rsid w:val="00CA4381"/>
    <w:rsid w:val="00CA4BEB"/>
    <w:rsid w:val="00CA652B"/>
    <w:rsid w:val="00CA67D2"/>
    <w:rsid w:val="00CA751B"/>
    <w:rsid w:val="00CA763F"/>
    <w:rsid w:val="00CB3958"/>
    <w:rsid w:val="00CB6450"/>
    <w:rsid w:val="00CC7570"/>
    <w:rsid w:val="00CD0872"/>
    <w:rsid w:val="00CD3B54"/>
    <w:rsid w:val="00CD3CB0"/>
    <w:rsid w:val="00CD6AB2"/>
    <w:rsid w:val="00CE171E"/>
    <w:rsid w:val="00CE3F66"/>
    <w:rsid w:val="00CE73BF"/>
    <w:rsid w:val="00D066B4"/>
    <w:rsid w:val="00D1454B"/>
    <w:rsid w:val="00D172B5"/>
    <w:rsid w:val="00D23BEF"/>
    <w:rsid w:val="00D259D6"/>
    <w:rsid w:val="00D34B55"/>
    <w:rsid w:val="00D44E10"/>
    <w:rsid w:val="00D628A2"/>
    <w:rsid w:val="00D655E2"/>
    <w:rsid w:val="00D657AB"/>
    <w:rsid w:val="00D669C5"/>
    <w:rsid w:val="00D67344"/>
    <w:rsid w:val="00D8241D"/>
    <w:rsid w:val="00D844AD"/>
    <w:rsid w:val="00D84533"/>
    <w:rsid w:val="00D85716"/>
    <w:rsid w:val="00D87880"/>
    <w:rsid w:val="00DA28E4"/>
    <w:rsid w:val="00DC095C"/>
    <w:rsid w:val="00DC1D0D"/>
    <w:rsid w:val="00DC4248"/>
    <w:rsid w:val="00DD6BB7"/>
    <w:rsid w:val="00DE193E"/>
    <w:rsid w:val="00E0003E"/>
    <w:rsid w:val="00E033AB"/>
    <w:rsid w:val="00E06BD4"/>
    <w:rsid w:val="00E06DEF"/>
    <w:rsid w:val="00E12E68"/>
    <w:rsid w:val="00E162A4"/>
    <w:rsid w:val="00E2096A"/>
    <w:rsid w:val="00E224E2"/>
    <w:rsid w:val="00E26C4F"/>
    <w:rsid w:val="00E3047B"/>
    <w:rsid w:val="00E357AA"/>
    <w:rsid w:val="00E47259"/>
    <w:rsid w:val="00E47FFD"/>
    <w:rsid w:val="00E51937"/>
    <w:rsid w:val="00E534A2"/>
    <w:rsid w:val="00E55481"/>
    <w:rsid w:val="00E56918"/>
    <w:rsid w:val="00E57C4D"/>
    <w:rsid w:val="00E60139"/>
    <w:rsid w:val="00E62C01"/>
    <w:rsid w:val="00E73793"/>
    <w:rsid w:val="00E7450A"/>
    <w:rsid w:val="00E858B0"/>
    <w:rsid w:val="00E875C4"/>
    <w:rsid w:val="00E95FFB"/>
    <w:rsid w:val="00E96FC2"/>
    <w:rsid w:val="00EA4620"/>
    <w:rsid w:val="00EA64EB"/>
    <w:rsid w:val="00EB17D2"/>
    <w:rsid w:val="00EB3A89"/>
    <w:rsid w:val="00EB52F9"/>
    <w:rsid w:val="00EB65AE"/>
    <w:rsid w:val="00EC14AB"/>
    <w:rsid w:val="00EC319B"/>
    <w:rsid w:val="00EC7891"/>
    <w:rsid w:val="00ED1EEC"/>
    <w:rsid w:val="00EE1027"/>
    <w:rsid w:val="00EE11D0"/>
    <w:rsid w:val="00EE315E"/>
    <w:rsid w:val="00EE4705"/>
    <w:rsid w:val="00EE74BD"/>
    <w:rsid w:val="00F00C5A"/>
    <w:rsid w:val="00F015A8"/>
    <w:rsid w:val="00F07D30"/>
    <w:rsid w:val="00F201E9"/>
    <w:rsid w:val="00F25727"/>
    <w:rsid w:val="00F26C60"/>
    <w:rsid w:val="00F27D2E"/>
    <w:rsid w:val="00F31580"/>
    <w:rsid w:val="00F36E26"/>
    <w:rsid w:val="00F42F1D"/>
    <w:rsid w:val="00F47C91"/>
    <w:rsid w:val="00F530B5"/>
    <w:rsid w:val="00F540E4"/>
    <w:rsid w:val="00F5571C"/>
    <w:rsid w:val="00F6701D"/>
    <w:rsid w:val="00F80949"/>
    <w:rsid w:val="00F81B59"/>
    <w:rsid w:val="00F84648"/>
    <w:rsid w:val="00F874C9"/>
    <w:rsid w:val="00F95C2E"/>
    <w:rsid w:val="00FA383D"/>
    <w:rsid w:val="00FB06B7"/>
    <w:rsid w:val="00FB0919"/>
    <w:rsid w:val="00FB2275"/>
    <w:rsid w:val="00FB3CD9"/>
    <w:rsid w:val="00FB54E5"/>
    <w:rsid w:val="00FB56FD"/>
    <w:rsid w:val="00FB5EC2"/>
    <w:rsid w:val="00FB6669"/>
    <w:rsid w:val="00FC0E00"/>
    <w:rsid w:val="00FC178F"/>
    <w:rsid w:val="00FC42A0"/>
    <w:rsid w:val="00FD15A7"/>
    <w:rsid w:val="00FD31B6"/>
    <w:rsid w:val="00FD72DE"/>
    <w:rsid w:val="00FE183F"/>
    <w:rsid w:val="00FE3AFA"/>
    <w:rsid w:val="00FE621E"/>
    <w:rsid w:val="00FF172C"/>
    <w:rsid w:val="00FF24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6E0822"/>
  <w14:defaultImageDpi w14:val="0"/>
  <w15:docId w15:val="{C878346B-E154-4C49-8E6A-C1BCDB14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Body1"/>
    <w:link w:val="Heading1Char"/>
    <w:autoRedefine/>
    <w:uiPriority w:val="9"/>
    <w:qFormat/>
    <w:locked/>
    <w:rsid w:val="000B56D4"/>
    <w:pPr>
      <w:keepNext/>
      <w:keepLines/>
      <w:numPr>
        <w:numId w:val="28"/>
      </w:numPr>
      <w:spacing w:before="480" w:after="0"/>
      <w:outlineLvl w:val="0"/>
    </w:pPr>
    <w:rPr>
      <w:rFonts w:eastAsiaTheme="majorEastAsia"/>
      <w:b/>
      <w:bCs/>
      <w:szCs w:val="28"/>
    </w:rPr>
  </w:style>
  <w:style w:type="paragraph" w:styleId="Heading2">
    <w:name w:val="heading 2"/>
    <w:basedOn w:val="Normal"/>
    <w:next w:val="Body2"/>
    <w:link w:val="Heading2Char"/>
    <w:autoRedefine/>
    <w:uiPriority w:val="9"/>
    <w:unhideWhenUsed/>
    <w:qFormat/>
    <w:locked/>
    <w:rsid w:val="007121DC"/>
    <w:pPr>
      <w:keepNext/>
      <w:keepLines/>
      <w:numPr>
        <w:ilvl w:val="1"/>
        <w:numId w:val="28"/>
      </w:numPr>
      <w:spacing w:before="200" w:after="0"/>
      <w:outlineLvl w:val="1"/>
    </w:pPr>
    <w:rPr>
      <w:rFonts w:eastAsiaTheme="majorEastAsia"/>
      <w:b/>
      <w:bCs/>
      <w:szCs w:val="26"/>
    </w:rPr>
  </w:style>
  <w:style w:type="paragraph" w:styleId="Heading3">
    <w:name w:val="heading 3"/>
    <w:basedOn w:val="Normal"/>
    <w:next w:val="Body3"/>
    <w:link w:val="Heading3Char"/>
    <w:autoRedefine/>
    <w:uiPriority w:val="9"/>
    <w:unhideWhenUsed/>
    <w:qFormat/>
    <w:locked/>
    <w:rsid w:val="00B35DA5"/>
    <w:pPr>
      <w:keepNext/>
      <w:keepLines/>
      <w:numPr>
        <w:ilvl w:val="2"/>
        <w:numId w:val="28"/>
      </w:numPr>
      <w:spacing w:before="200" w:after="0"/>
      <w:outlineLvl w:val="2"/>
    </w:pPr>
    <w:rPr>
      <w:rFonts w:eastAsiaTheme="majorEastAsia"/>
      <w:bCs/>
      <w:u w:val="single"/>
    </w:rPr>
  </w:style>
  <w:style w:type="paragraph" w:styleId="Heading4">
    <w:name w:val="heading 4"/>
    <w:basedOn w:val="Normal"/>
    <w:next w:val="Normal"/>
    <w:link w:val="Heading4Char"/>
    <w:autoRedefine/>
    <w:uiPriority w:val="9"/>
    <w:unhideWhenUsed/>
    <w:qFormat/>
    <w:locked/>
    <w:rsid w:val="006677EF"/>
    <w:pPr>
      <w:keepNext/>
      <w:keepLines/>
      <w:numPr>
        <w:ilvl w:val="3"/>
        <w:numId w:val="28"/>
      </w:numPr>
      <w:spacing w:before="200" w:after="0"/>
      <w:outlineLvl w:val="3"/>
    </w:pPr>
    <w:rPr>
      <w:rFonts w:eastAsiaTheme="majorEastAsia"/>
      <w:bCs/>
      <w:iCs/>
    </w:rPr>
  </w:style>
  <w:style w:type="paragraph" w:styleId="Heading5">
    <w:name w:val="heading 5"/>
    <w:basedOn w:val="Normal"/>
    <w:next w:val="Normal"/>
    <w:link w:val="Heading5Char"/>
    <w:autoRedefine/>
    <w:uiPriority w:val="9"/>
    <w:unhideWhenUsed/>
    <w:qFormat/>
    <w:locked/>
    <w:rsid w:val="007121DC"/>
    <w:pPr>
      <w:keepNext/>
      <w:keepLines/>
      <w:numPr>
        <w:ilvl w:val="4"/>
        <w:numId w:val="28"/>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B56D4"/>
    <w:rPr>
      <w:rFonts w:eastAsiaTheme="majorEastAsia" w:cs="Times New Roman"/>
      <w:b/>
      <w:bCs/>
      <w:sz w:val="28"/>
      <w:szCs w:val="28"/>
    </w:rPr>
  </w:style>
  <w:style w:type="character" w:customStyle="1" w:styleId="Heading2Char">
    <w:name w:val="Heading 2 Char"/>
    <w:basedOn w:val="DefaultParagraphFont"/>
    <w:link w:val="Heading2"/>
    <w:uiPriority w:val="9"/>
    <w:locked/>
    <w:rsid w:val="007121DC"/>
    <w:rPr>
      <w:rFonts w:eastAsiaTheme="majorEastAsia" w:cs="Times New Roman"/>
      <w:b/>
      <w:bCs/>
      <w:sz w:val="26"/>
      <w:szCs w:val="26"/>
    </w:rPr>
  </w:style>
  <w:style w:type="character" w:customStyle="1" w:styleId="Heading3Char">
    <w:name w:val="Heading 3 Char"/>
    <w:basedOn w:val="DefaultParagraphFont"/>
    <w:link w:val="Heading3"/>
    <w:uiPriority w:val="9"/>
    <w:locked/>
    <w:rsid w:val="00B35DA5"/>
    <w:rPr>
      <w:rFonts w:eastAsiaTheme="majorEastAsia" w:cs="Times New Roman"/>
      <w:bCs/>
      <w:u w:val="single"/>
    </w:rPr>
  </w:style>
  <w:style w:type="character" w:customStyle="1" w:styleId="Heading4Char">
    <w:name w:val="Heading 4 Char"/>
    <w:basedOn w:val="DefaultParagraphFont"/>
    <w:link w:val="Heading4"/>
    <w:uiPriority w:val="9"/>
    <w:locked/>
    <w:rsid w:val="006677EF"/>
    <w:rPr>
      <w:rFonts w:eastAsiaTheme="majorEastAsia" w:cs="Times New Roman"/>
      <w:bCs/>
      <w:iCs/>
    </w:rPr>
  </w:style>
  <w:style w:type="character" w:customStyle="1" w:styleId="Heading5Char">
    <w:name w:val="Heading 5 Char"/>
    <w:basedOn w:val="DefaultParagraphFont"/>
    <w:link w:val="Heading5"/>
    <w:uiPriority w:val="9"/>
    <w:locked/>
    <w:rsid w:val="007121DC"/>
    <w:rPr>
      <w:rFonts w:eastAsiaTheme="majorEastAsia" w:cs="Times New Roman"/>
    </w:rPr>
  </w:style>
  <w:style w:type="paragraph" w:styleId="ListParagraph">
    <w:name w:val="List Paragraph"/>
    <w:basedOn w:val="Normal"/>
    <w:uiPriority w:val="34"/>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paragraph" w:styleId="Title">
    <w:name w:val="Title"/>
    <w:basedOn w:val="Normal"/>
    <w:next w:val="Normal"/>
    <w:link w:val="TitleChar"/>
    <w:autoRedefine/>
    <w:uiPriority w:val="10"/>
    <w:qFormat/>
    <w:locked/>
    <w:rsid w:val="00257E69"/>
    <w:pPr>
      <w:spacing w:after="0" w:line="240" w:lineRule="auto"/>
    </w:pPr>
    <w:rPr>
      <w:b/>
      <w:caps/>
      <w:sz w:val="24"/>
      <w:szCs w:val="24"/>
    </w:rPr>
  </w:style>
  <w:style w:type="character" w:customStyle="1" w:styleId="TitleChar">
    <w:name w:val="Title Char"/>
    <w:basedOn w:val="DefaultParagraphFont"/>
    <w:link w:val="Title"/>
    <w:uiPriority w:val="10"/>
    <w:locked/>
    <w:rsid w:val="00257E69"/>
    <w:rPr>
      <w:rFonts w:cs="Times New Roman"/>
      <w:b/>
      <w:caps/>
      <w:sz w:val="24"/>
      <w:szCs w:val="24"/>
    </w:rPr>
  </w:style>
  <w:style w:type="paragraph" w:styleId="Subtitle">
    <w:name w:val="Subtitle"/>
    <w:basedOn w:val="Normal"/>
    <w:next w:val="Normal"/>
    <w:link w:val="SubtitleChar"/>
    <w:uiPriority w:val="11"/>
    <w:qFormat/>
    <w:locked/>
    <w:rsid w:val="00257E69"/>
    <w:pPr>
      <w:spacing w:after="0" w:line="240" w:lineRule="auto"/>
    </w:pPr>
    <w:rPr>
      <w:b/>
      <w:sz w:val="24"/>
      <w:szCs w:val="24"/>
    </w:rPr>
  </w:style>
  <w:style w:type="character" w:customStyle="1" w:styleId="SubtitleChar">
    <w:name w:val="Subtitle Char"/>
    <w:basedOn w:val="DefaultParagraphFont"/>
    <w:link w:val="Subtitle"/>
    <w:uiPriority w:val="11"/>
    <w:locked/>
    <w:rsid w:val="00257E69"/>
    <w:rPr>
      <w:rFonts w:cs="Times New Roman"/>
      <w:b/>
      <w:sz w:val="24"/>
      <w:szCs w:val="24"/>
    </w:rPr>
  </w:style>
  <w:style w:type="paragraph" w:customStyle="1" w:styleId="DispositionDate">
    <w:name w:val="Disposition Date"/>
    <w:basedOn w:val="Normal"/>
    <w:autoRedefine/>
    <w:qFormat/>
    <w:rsid w:val="00774848"/>
    <w:rPr>
      <w:sz w:val="24"/>
      <w:szCs w:val="24"/>
    </w:rPr>
  </w:style>
  <w:style w:type="paragraph" w:styleId="TOC1">
    <w:name w:val="toc 1"/>
    <w:basedOn w:val="Normal"/>
    <w:next w:val="Heading1"/>
    <w:autoRedefine/>
    <w:uiPriority w:val="39"/>
    <w:locked/>
    <w:rsid w:val="00774848"/>
  </w:style>
  <w:style w:type="paragraph" w:styleId="TOC2">
    <w:name w:val="toc 2"/>
    <w:basedOn w:val="TOC1"/>
    <w:next w:val="Normal"/>
    <w:autoRedefine/>
    <w:uiPriority w:val="39"/>
    <w:locked/>
    <w:rsid w:val="007121DC"/>
    <w:pPr>
      <w:spacing w:before="100" w:after="100"/>
      <w:ind w:left="216"/>
    </w:pPr>
  </w:style>
  <w:style w:type="paragraph" w:styleId="TOC3">
    <w:name w:val="toc 3"/>
    <w:basedOn w:val="Normal"/>
    <w:next w:val="Normal"/>
    <w:autoRedefine/>
    <w:uiPriority w:val="39"/>
    <w:locked/>
    <w:rsid w:val="007121DC"/>
    <w:pPr>
      <w:spacing w:before="100" w:after="100"/>
      <w:ind w:left="720"/>
    </w:pPr>
    <w:rPr>
      <w:rFonts w:asciiTheme="minorHAnsi" w:eastAsiaTheme="majorEastAsia" w:hAnsiTheme="minorHAnsi"/>
      <w:bCs/>
    </w:rPr>
  </w:style>
  <w:style w:type="paragraph" w:customStyle="1" w:styleId="Body1">
    <w:name w:val="Body1"/>
    <w:basedOn w:val="Normal"/>
    <w:autoRedefine/>
    <w:qFormat/>
    <w:rsid w:val="005C7061"/>
    <w:pPr>
      <w:spacing w:line="240" w:lineRule="auto"/>
    </w:pPr>
  </w:style>
  <w:style w:type="paragraph" w:customStyle="1" w:styleId="Body2">
    <w:name w:val="Body2"/>
    <w:basedOn w:val="Normal"/>
    <w:autoRedefine/>
    <w:qFormat/>
    <w:rsid w:val="001D7863"/>
    <w:pPr>
      <w:ind w:left="216"/>
    </w:pPr>
  </w:style>
  <w:style w:type="paragraph" w:customStyle="1" w:styleId="Body3">
    <w:name w:val="Body3"/>
    <w:basedOn w:val="Body2"/>
    <w:autoRedefine/>
    <w:qFormat/>
    <w:rsid w:val="002675AE"/>
    <w:pPr>
      <w:spacing w:after="0"/>
      <w:ind w:left="720"/>
    </w:pPr>
  </w:style>
  <w:style w:type="character" w:styleId="Hyperlink">
    <w:name w:val="Hyperlink"/>
    <w:basedOn w:val="DefaultParagraphFont"/>
    <w:uiPriority w:val="99"/>
    <w:unhideWhenUsed/>
    <w:rsid w:val="00235ACC"/>
    <w:rPr>
      <w:rFonts w:cs="Times New Roman"/>
      <w:color w:val="0000FF" w:themeColor="hyperlink"/>
      <w:u w:val="single"/>
    </w:rPr>
  </w:style>
  <w:style w:type="table" w:customStyle="1" w:styleId="TableGrid1">
    <w:name w:val="Table Grid1"/>
    <w:basedOn w:val="TableNormal"/>
    <w:next w:val="TableGrid"/>
    <w:rsid w:val="005F6BC9"/>
    <w:rPr>
      <w:rFonts w:asciiTheme="minorHAnsi" w:hAnsiTheme="minorHAns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Text">
    <w:name w:val="WP Text"/>
    <w:link w:val="WPTextChar"/>
    <w:rsid w:val="005F6BC9"/>
    <w:rPr>
      <w:rFonts w:ascii="Times New Roman" w:hAnsi="Times New Roman" w:cs="Times New Roman"/>
      <w:sz w:val="24"/>
      <w:szCs w:val="24"/>
    </w:rPr>
  </w:style>
  <w:style w:type="character" w:customStyle="1" w:styleId="WPTextChar">
    <w:name w:val="WP Text Char"/>
    <w:link w:val="WPText"/>
    <w:locked/>
    <w:rsid w:val="005F6BC9"/>
    <w:rPr>
      <w:rFonts w:ascii="Times New Roman" w:hAnsi="Times New Roman"/>
      <w:sz w:val="24"/>
    </w:rPr>
  </w:style>
  <w:style w:type="numbering" w:customStyle="1" w:styleId="Dispositions">
    <w:name w:val="Dispositions"/>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071890">
      <w:marLeft w:val="0"/>
      <w:marRight w:val="0"/>
      <w:marTop w:val="0"/>
      <w:marBottom w:val="0"/>
      <w:divBdr>
        <w:top w:val="none" w:sz="0" w:space="0" w:color="auto"/>
        <w:left w:val="none" w:sz="0" w:space="0" w:color="auto"/>
        <w:bottom w:val="none" w:sz="0" w:space="0" w:color="auto"/>
        <w:right w:val="none" w:sz="0" w:space="0" w:color="auto"/>
      </w:divBdr>
    </w:div>
    <w:div w:id="998071908">
      <w:marLeft w:val="0"/>
      <w:marRight w:val="0"/>
      <w:marTop w:val="0"/>
      <w:marBottom w:val="0"/>
      <w:divBdr>
        <w:top w:val="none" w:sz="0" w:space="0" w:color="auto"/>
        <w:left w:val="none" w:sz="0" w:space="0" w:color="auto"/>
        <w:bottom w:val="none" w:sz="0" w:space="0" w:color="auto"/>
        <w:right w:val="none" w:sz="0" w:space="0" w:color="auto"/>
      </w:divBdr>
    </w:div>
    <w:div w:id="998071909">
      <w:marLeft w:val="0"/>
      <w:marRight w:val="0"/>
      <w:marTop w:val="0"/>
      <w:marBottom w:val="0"/>
      <w:divBdr>
        <w:top w:val="none" w:sz="0" w:space="0" w:color="auto"/>
        <w:left w:val="none" w:sz="0" w:space="0" w:color="auto"/>
        <w:bottom w:val="none" w:sz="0" w:space="0" w:color="auto"/>
        <w:right w:val="none" w:sz="0" w:space="0" w:color="auto"/>
      </w:divBdr>
    </w:div>
    <w:div w:id="998071910">
      <w:marLeft w:val="0"/>
      <w:marRight w:val="0"/>
      <w:marTop w:val="0"/>
      <w:marBottom w:val="0"/>
      <w:divBdr>
        <w:top w:val="none" w:sz="0" w:space="0" w:color="auto"/>
        <w:left w:val="none" w:sz="0" w:space="0" w:color="auto"/>
        <w:bottom w:val="none" w:sz="0" w:space="0" w:color="auto"/>
        <w:right w:val="none" w:sz="0" w:space="0" w:color="auto"/>
      </w:divBdr>
    </w:div>
    <w:div w:id="998071918">
      <w:marLeft w:val="0"/>
      <w:marRight w:val="0"/>
      <w:marTop w:val="0"/>
      <w:marBottom w:val="0"/>
      <w:divBdr>
        <w:top w:val="none" w:sz="0" w:space="0" w:color="auto"/>
        <w:left w:val="none" w:sz="0" w:space="0" w:color="auto"/>
        <w:bottom w:val="none" w:sz="0" w:space="0" w:color="auto"/>
        <w:right w:val="none" w:sz="0" w:space="0" w:color="auto"/>
      </w:divBdr>
    </w:div>
    <w:div w:id="998071932">
      <w:marLeft w:val="0"/>
      <w:marRight w:val="0"/>
      <w:marTop w:val="0"/>
      <w:marBottom w:val="0"/>
      <w:divBdr>
        <w:top w:val="none" w:sz="0" w:space="0" w:color="auto"/>
        <w:left w:val="none" w:sz="0" w:space="0" w:color="auto"/>
        <w:bottom w:val="none" w:sz="0" w:space="0" w:color="auto"/>
        <w:right w:val="none" w:sz="0" w:space="0" w:color="auto"/>
      </w:divBdr>
      <w:divsChild>
        <w:div w:id="998071880">
          <w:marLeft w:val="0"/>
          <w:marRight w:val="0"/>
          <w:marTop w:val="0"/>
          <w:marBottom w:val="0"/>
          <w:divBdr>
            <w:top w:val="none" w:sz="0" w:space="0" w:color="auto"/>
            <w:left w:val="none" w:sz="0" w:space="0" w:color="auto"/>
            <w:bottom w:val="none" w:sz="0" w:space="0" w:color="auto"/>
            <w:right w:val="none" w:sz="0" w:space="0" w:color="auto"/>
          </w:divBdr>
        </w:div>
        <w:div w:id="998071881">
          <w:marLeft w:val="0"/>
          <w:marRight w:val="0"/>
          <w:marTop w:val="0"/>
          <w:marBottom w:val="0"/>
          <w:divBdr>
            <w:top w:val="none" w:sz="0" w:space="0" w:color="auto"/>
            <w:left w:val="none" w:sz="0" w:space="0" w:color="auto"/>
            <w:bottom w:val="none" w:sz="0" w:space="0" w:color="auto"/>
            <w:right w:val="none" w:sz="0" w:space="0" w:color="auto"/>
          </w:divBdr>
        </w:div>
        <w:div w:id="998071882">
          <w:marLeft w:val="0"/>
          <w:marRight w:val="0"/>
          <w:marTop w:val="0"/>
          <w:marBottom w:val="0"/>
          <w:divBdr>
            <w:top w:val="none" w:sz="0" w:space="0" w:color="auto"/>
            <w:left w:val="none" w:sz="0" w:space="0" w:color="auto"/>
            <w:bottom w:val="none" w:sz="0" w:space="0" w:color="auto"/>
            <w:right w:val="none" w:sz="0" w:space="0" w:color="auto"/>
          </w:divBdr>
        </w:div>
        <w:div w:id="998071883">
          <w:marLeft w:val="0"/>
          <w:marRight w:val="0"/>
          <w:marTop w:val="0"/>
          <w:marBottom w:val="0"/>
          <w:divBdr>
            <w:top w:val="none" w:sz="0" w:space="0" w:color="auto"/>
            <w:left w:val="none" w:sz="0" w:space="0" w:color="auto"/>
            <w:bottom w:val="none" w:sz="0" w:space="0" w:color="auto"/>
            <w:right w:val="none" w:sz="0" w:space="0" w:color="auto"/>
          </w:divBdr>
        </w:div>
        <w:div w:id="998071884">
          <w:marLeft w:val="0"/>
          <w:marRight w:val="0"/>
          <w:marTop w:val="0"/>
          <w:marBottom w:val="0"/>
          <w:divBdr>
            <w:top w:val="none" w:sz="0" w:space="0" w:color="auto"/>
            <w:left w:val="none" w:sz="0" w:space="0" w:color="auto"/>
            <w:bottom w:val="none" w:sz="0" w:space="0" w:color="auto"/>
            <w:right w:val="none" w:sz="0" w:space="0" w:color="auto"/>
          </w:divBdr>
        </w:div>
        <w:div w:id="998071885">
          <w:marLeft w:val="0"/>
          <w:marRight w:val="0"/>
          <w:marTop w:val="0"/>
          <w:marBottom w:val="0"/>
          <w:divBdr>
            <w:top w:val="none" w:sz="0" w:space="0" w:color="auto"/>
            <w:left w:val="none" w:sz="0" w:space="0" w:color="auto"/>
            <w:bottom w:val="none" w:sz="0" w:space="0" w:color="auto"/>
            <w:right w:val="none" w:sz="0" w:space="0" w:color="auto"/>
          </w:divBdr>
        </w:div>
        <w:div w:id="998071886">
          <w:marLeft w:val="0"/>
          <w:marRight w:val="0"/>
          <w:marTop w:val="0"/>
          <w:marBottom w:val="0"/>
          <w:divBdr>
            <w:top w:val="none" w:sz="0" w:space="0" w:color="auto"/>
            <w:left w:val="none" w:sz="0" w:space="0" w:color="auto"/>
            <w:bottom w:val="none" w:sz="0" w:space="0" w:color="auto"/>
            <w:right w:val="none" w:sz="0" w:space="0" w:color="auto"/>
          </w:divBdr>
        </w:div>
        <w:div w:id="998071887">
          <w:marLeft w:val="0"/>
          <w:marRight w:val="0"/>
          <w:marTop w:val="0"/>
          <w:marBottom w:val="0"/>
          <w:divBdr>
            <w:top w:val="none" w:sz="0" w:space="0" w:color="auto"/>
            <w:left w:val="none" w:sz="0" w:space="0" w:color="auto"/>
            <w:bottom w:val="none" w:sz="0" w:space="0" w:color="auto"/>
            <w:right w:val="none" w:sz="0" w:space="0" w:color="auto"/>
          </w:divBdr>
        </w:div>
        <w:div w:id="998071888">
          <w:marLeft w:val="0"/>
          <w:marRight w:val="0"/>
          <w:marTop w:val="0"/>
          <w:marBottom w:val="0"/>
          <w:divBdr>
            <w:top w:val="none" w:sz="0" w:space="0" w:color="auto"/>
            <w:left w:val="none" w:sz="0" w:space="0" w:color="auto"/>
            <w:bottom w:val="none" w:sz="0" w:space="0" w:color="auto"/>
            <w:right w:val="none" w:sz="0" w:space="0" w:color="auto"/>
          </w:divBdr>
        </w:div>
        <w:div w:id="998071889">
          <w:marLeft w:val="0"/>
          <w:marRight w:val="0"/>
          <w:marTop w:val="0"/>
          <w:marBottom w:val="0"/>
          <w:divBdr>
            <w:top w:val="none" w:sz="0" w:space="0" w:color="auto"/>
            <w:left w:val="none" w:sz="0" w:space="0" w:color="auto"/>
            <w:bottom w:val="none" w:sz="0" w:space="0" w:color="auto"/>
            <w:right w:val="none" w:sz="0" w:space="0" w:color="auto"/>
          </w:divBdr>
        </w:div>
        <w:div w:id="998071891">
          <w:marLeft w:val="0"/>
          <w:marRight w:val="0"/>
          <w:marTop w:val="0"/>
          <w:marBottom w:val="0"/>
          <w:divBdr>
            <w:top w:val="none" w:sz="0" w:space="0" w:color="auto"/>
            <w:left w:val="none" w:sz="0" w:space="0" w:color="auto"/>
            <w:bottom w:val="none" w:sz="0" w:space="0" w:color="auto"/>
            <w:right w:val="none" w:sz="0" w:space="0" w:color="auto"/>
          </w:divBdr>
        </w:div>
        <w:div w:id="998071892">
          <w:marLeft w:val="0"/>
          <w:marRight w:val="0"/>
          <w:marTop w:val="0"/>
          <w:marBottom w:val="0"/>
          <w:divBdr>
            <w:top w:val="none" w:sz="0" w:space="0" w:color="auto"/>
            <w:left w:val="none" w:sz="0" w:space="0" w:color="auto"/>
            <w:bottom w:val="none" w:sz="0" w:space="0" w:color="auto"/>
            <w:right w:val="none" w:sz="0" w:space="0" w:color="auto"/>
          </w:divBdr>
        </w:div>
        <w:div w:id="998071893">
          <w:marLeft w:val="0"/>
          <w:marRight w:val="0"/>
          <w:marTop w:val="0"/>
          <w:marBottom w:val="0"/>
          <w:divBdr>
            <w:top w:val="none" w:sz="0" w:space="0" w:color="auto"/>
            <w:left w:val="none" w:sz="0" w:space="0" w:color="auto"/>
            <w:bottom w:val="none" w:sz="0" w:space="0" w:color="auto"/>
            <w:right w:val="none" w:sz="0" w:space="0" w:color="auto"/>
          </w:divBdr>
        </w:div>
        <w:div w:id="998071894">
          <w:marLeft w:val="0"/>
          <w:marRight w:val="0"/>
          <w:marTop w:val="0"/>
          <w:marBottom w:val="0"/>
          <w:divBdr>
            <w:top w:val="none" w:sz="0" w:space="0" w:color="auto"/>
            <w:left w:val="none" w:sz="0" w:space="0" w:color="auto"/>
            <w:bottom w:val="none" w:sz="0" w:space="0" w:color="auto"/>
            <w:right w:val="none" w:sz="0" w:space="0" w:color="auto"/>
          </w:divBdr>
        </w:div>
        <w:div w:id="998071895">
          <w:marLeft w:val="0"/>
          <w:marRight w:val="0"/>
          <w:marTop w:val="0"/>
          <w:marBottom w:val="0"/>
          <w:divBdr>
            <w:top w:val="none" w:sz="0" w:space="0" w:color="auto"/>
            <w:left w:val="none" w:sz="0" w:space="0" w:color="auto"/>
            <w:bottom w:val="none" w:sz="0" w:space="0" w:color="auto"/>
            <w:right w:val="none" w:sz="0" w:space="0" w:color="auto"/>
          </w:divBdr>
        </w:div>
        <w:div w:id="998071896">
          <w:marLeft w:val="0"/>
          <w:marRight w:val="0"/>
          <w:marTop w:val="0"/>
          <w:marBottom w:val="0"/>
          <w:divBdr>
            <w:top w:val="none" w:sz="0" w:space="0" w:color="auto"/>
            <w:left w:val="none" w:sz="0" w:space="0" w:color="auto"/>
            <w:bottom w:val="none" w:sz="0" w:space="0" w:color="auto"/>
            <w:right w:val="none" w:sz="0" w:space="0" w:color="auto"/>
          </w:divBdr>
        </w:div>
        <w:div w:id="998071897">
          <w:marLeft w:val="0"/>
          <w:marRight w:val="0"/>
          <w:marTop w:val="0"/>
          <w:marBottom w:val="0"/>
          <w:divBdr>
            <w:top w:val="none" w:sz="0" w:space="0" w:color="auto"/>
            <w:left w:val="none" w:sz="0" w:space="0" w:color="auto"/>
            <w:bottom w:val="none" w:sz="0" w:space="0" w:color="auto"/>
            <w:right w:val="none" w:sz="0" w:space="0" w:color="auto"/>
          </w:divBdr>
        </w:div>
        <w:div w:id="998071898">
          <w:marLeft w:val="0"/>
          <w:marRight w:val="0"/>
          <w:marTop w:val="0"/>
          <w:marBottom w:val="0"/>
          <w:divBdr>
            <w:top w:val="none" w:sz="0" w:space="0" w:color="auto"/>
            <w:left w:val="none" w:sz="0" w:space="0" w:color="auto"/>
            <w:bottom w:val="none" w:sz="0" w:space="0" w:color="auto"/>
            <w:right w:val="none" w:sz="0" w:space="0" w:color="auto"/>
          </w:divBdr>
        </w:div>
        <w:div w:id="998071899">
          <w:marLeft w:val="0"/>
          <w:marRight w:val="0"/>
          <w:marTop w:val="0"/>
          <w:marBottom w:val="0"/>
          <w:divBdr>
            <w:top w:val="none" w:sz="0" w:space="0" w:color="auto"/>
            <w:left w:val="none" w:sz="0" w:space="0" w:color="auto"/>
            <w:bottom w:val="none" w:sz="0" w:space="0" w:color="auto"/>
            <w:right w:val="none" w:sz="0" w:space="0" w:color="auto"/>
          </w:divBdr>
        </w:div>
        <w:div w:id="998071900">
          <w:marLeft w:val="0"/>
          <w:marRight w:val="0"/>
          <w:marTop w:val="0"/>
          <w:marBottom w:val="0"/>
          <w:divBdr>
            <w:top w:val="none" w:sz="0" w:space="0" w:color="auto"/>
            <w:left w:val="none" w:sz="0" w:space="0" w:color="auto"/>
            <w:bottom w:val="none" w:sz="0" w:space="0" w:color="auto"/>
            <w:right w:val="none" w:sz="0" w:space="0" w:color="auto"/>
          </w:divBdr>
        </w:div>
        <w:div w:id="998071901">
          <w:marLeft w:val="0"/>
          <w:marRight w:val="0"/>
          <w:marTop w:val="0"/>
          <w:marBottom w:val="0"/>
          <w:divBdr>
            <w:top w:val="none" w:sz="0" w:space="0" w:color="auto"/>
            <w:left w:val="none" w:sz="0" w:space="0" w:color="auto"/>
            <w:bottom w:val="none" w:sz="0" w:space="0" w:color="auto"/>
            <w:right w:val="none" w:sz="0" w:space="0" w:color="auto"/>
          </w:divBdr>
        </w:div>
        <w:div w:id="998071902">
          <w:marLeft w:val="0"/>
          <w:marRight w:val="0"/>
          <w:marTop w:val="0"/>
          <w:marBottom w:val="0"/>
          <w:divBdr>
            <w:top w:val="none" w:sz="0" w:space="0" w:color="auto"/>
            <w:left w:val="none" w:sz="0" w:space="0" w:color="auto"/>
            <w:bottom w:val="none" w:sz="0" w:space="0" w:color="auto"/>
            <w:right w:val="none" w:sz="0" w:space="0" w:color="auto"/>
          </w:divBdr>
        </w:div>
        <w:div w:id="998071903">
          <w:marLeft w:val="0"/>
          <w:marRight w:val="0"/>
          <w:marTop w:val="0"/>
          <w:marBottom w:val="0"/>
          <w:divBdr>
            <w:top w:val="none" w:sz="0" w:space="0" w:color="auto"/>
            <w:left w:val="none" w:sz="0" w:space="0" w:color="auto"/>
            <w:bottom w:val="none" w:sz="0" w:space="0" w:color="auto"/>
            <w:right w:val="none" w:sz="0" w:space="0" w:color="auto"/>
          </w:divBdr>
        </w:div>
        <w:div w:id="998071904">
          <w:marLeft w:val="0"/>
          <w:marRight w:val="0"/>
          <w:marTop w:val="0"/>
          <w:marBottom w:val="0"/>
          <w:divBdr>
            <w:top w:val="none" w:sz="0" w:space="0" w:color="auto"/>
            <w:left w:val="none" w:sz="0" w:space="0" w:color="auto"/>
            <w:bottom w:val="none" w:sz="0" w:space="0" w:color="auto"/>
            <w:right w:val="none" w:sz="0" w:space="0" w:color="auto"/>
          </w:divBdr>
        </w:div>
        <w:div w:id="998071905">
          <w:marLeft w:val="0"/>
          <w:marRight w:val="0"/>
          <w:marTop w:val="0"/>
          <w:marBottom w:val="0"/>
          <w:divBdr>
            <w:top w:val="none" w:sz="0" w:space="0" w:color="auto"/>
            <w:left w:val="none" w:sz="0" w:space="0" w:color="auto"/>
            <w:bottom w:val="none" w:sz="0" w:space="0" w:color="auto"/>
            <w:right w:val="none" w:sz="0" w:space="0" w:color="auto"/>
          </w:divBdr>
        </w:div>
        <w:div w:id="998071906">
          <w:marLeft w:val="0"/>
          <w:marRight w:val="0"/>
          <w:marTop w:val="0"/>
          <w:marBottom w:val="0"/>
          <w:divBdr>
            <w:top w:val="none" w:sz="0" w:space="0" w:color="auto"/>
            <w:left w:val="none" w:sz="0" w:space="0" w:color="auto"/>
            <w:bottom w:val="none" w:sz="0" w:space="0" w:color="auto"/>
            <w:right w:val="none" w:sz="0" w:space="0" w:color="auto"/>
          </w:divBdr>
        </w:div>
        <w:div w:id="998071907">
          <w:marLeft w:val="0"/>
          <w:marRight w:val="0"/>
          <w:marTop w:val="0"/>
          <w:marBottom w:val="0"/>
          <w:divBdr>
            <w:top w:val="none" w:sz="0" w:space="0" w:color="auto"/>
            <w:left w:val="none" w:sz="0" w:space="0" w:color="auto"/>
            <w:bottom w:val="none" w:sz="0" w:space="0" w:color="auto"/>
            <w:right w:val="none" w:sz="0" w:space="0" w:color="auto"/>
          </w:divBdr>
        </w:div>
        <w:div w:id="998071911">
          <w:marLeft w:val="0"/>
          <w:marRight w:val="0"/>
          <w:marTop w:val="0"/>
          <w:marBottom w:val="0"/>
          <w:divBdr>
            <w:top w:val="none" w:sz="0" w:space="0" w:color="auto"/>
            <w:left w:val="none" w:sz="0" w:space="0" w:color="auto"/>
            <w:bottom w:val="none" w:sz="0" w:space="0" w:color="auto"/>
            <w:right w:val="none" w:sz="0" w:space="0" w:color="auto"/>
          </w:divBdr>
        </w:div>
        <w:div w:id="998071912">
          <w:marLeft w:val="0"/>
          <w:marRight w:val="0"/>
          <w:marTop w:val="0"/>
          <w:marBottom w:val="0"/>
          <w:divBdr>
            <w:top w:val="none" w:sz="0" w:space="0" w:color="auto"/>
            <w:left w:val="none" w:sz="0" w:space="0" w:color="auto"/>
            <w:bottom w:val="none" w:sz="0" w:space="0" w:color="auto"/>
            <w:right w:val="none" w:sz="0" w:space="0" w:color="auto"/>
          </w:divBdr>
        </w:div>
        <w:div w:id="998071913">
          <w:marLeft w:val="0"/>
          <w:marRight w:val="0"/>
          <w:marTop w:val="0"/>
          <w:marBottom w:val="0"/>
          <w:divBdr>
            <w:top w:val="none" w:sz="0" w:space="0" w:color="auto"/>
            <w:left w:val="none" w:sz="0" w:space="0" w:color="auto"/>
            <w:bottom w:val="none" w:sz="0" w:space="0" w:color="auto"/>
            <w:right w:val="none" w:sz="0" w:space="0" w:color="auto"/>
          </w:divBdr>
        </w:div>
        <w:div w:id="998071914">
          <w:marLeft w:val="0"/>
          <w:marRight w:val="0"/>
          <w:marTop w:val="0"/>
          <w:marBottom w:val="0"/>
          <w:divBdr>
            <w:top w:val="none" w:sz="0" w:space="0" w:color="auto"/>
            <w:left w:val="none" w:sz="0" w:space="0" w:color="auto"/>
            <w:bottom w:val="none" w:sz="0" w:space="0" w:color="auto"/>
            <w:right w:val="none" w:sz="0" w:space="0" w:color="auto"/>
          </w:divBdr>
        </w:div>
        <w:div w:id="998071915">
          <w:marLeft w:val="0"/>
          <w:marRight w:val="0"/>
          <w:marTop w:val="0"/>
          <w:marBottom w:val="0"/>
          <w:divBdr>
            <w:top w:val="none" w:sz="0" w:space="0" w:color="auto"/>
            <w:left w:val="none" w:sz="0" w:space="0" w:color="auto"/>
            <w:bottom w:val="none" w:sz="0" w:space="0" w:color="auto"/>
            <w:right w:val="none" w:sz="0" w:space="0" w:color="auto"/>
          </w:divBdr>
        </w:div>
        <w:div w:id="998071916">
          <w:marLeft w:val="0"/>
          <w:marRight w:val="0"/>
          <w:marTop w:val="0"/>
          <w:marBottom w:val="0"/>
          <w:divBdr>
            <w:top w:val="none" w:sz="0" w:space="0" w:color="auto"/>
            <w:left w:val="none" w:sz="0" w:space="0" w:color="auto"/>
            <w:bottom w:val="none" w:sz="0" w:space="0" w:color="auto"/>
            <w:right w:val="none" w:sz="0" w:space="0" w:color="auto"/>
          </w:divBdr>
        </w:div>
        <w:div w:id="998071917">
          <w:marLeft w:val="0"/>
          <w:marRight w:val="0"/>
          <w:marTop w:val="0"/>
          <w:marBottom w:val="0"/>
          <w:divBdr>
            <w:top w:val="none" w:sz="0" w:space="0" w:color="auto"/>
            <w:left w:val="none" w:sz="0" w:space="0" w:color="auto"/>
            <w:bottom w:val="none" w:sz="0" w:space="0" w:color="auto"/>
            <w:right w:val="none" w:sz="0" w:space="0" w:color="auto"/>
          </w:divBdr>
        </w:div>
        <w:div w:id="998071919">
          <w:marLeft w:val="0"/>
          <w:marRight w:val="0"/>
          <w:marTop w:val="0"/>
          <w:marBottom w:val="0"/>
          <w:divBdr>
            <w:top w:val="none" w:sz="0" w:space="0" w:color="auto"/>
            <w:left w:val="none" w:sz="0" w:space="0" w:color="auto"/>
            <w:bottom w:val="none" w:sz="0" w:space="0" w:color="auto"/>
            <w:right w:val="none" w:sz="0" w:space="0" w:color="auto"/>
          </w:divBdr>
        </w:div>
        <w:div w:id="998071920">
          <w:marLeft w:val="0"/>
          <w:marRight w:val="0"/>
          <w:marTop w:val="0"/>
          <w:marBottom w:val="0"/>
          <w:divBdr>
            <w:top w:val="none" w:sz="0" w:space="0" w:color="auto"/>
            <w:left w:val="none" w:sz="0" w:space="0" w:color="auto"/>
            <w:bottom w:val="none" w:sz="0" w:space="0" w:color="auto"/>
            <w:right w:val="none" w:sz="0" w:space="0" w:color="auto"/>
          </w:divBdr>
        </w:div>
        <w:div w:id="998071921">
          <w:marLeft w:val="0"/>
          <w:marRight w:val="0"/>
          <w:marTop w:val="0"/>
          <w:marBottom w:val="0"/>
          <w:divBdr>
            <w:top w:val="none" w:sz="0" w:space="0" w:color="auto"/>
            <w:left w:val="none" w:sz="0" w:space="0" w:color="auto"/>
            <w:bottom w:val="none" w:sz="0" w:space="0" w:color="auto"/>
            <w:right w:val="none" w:sz="0" w:space="0" w:color="auto"/>
          </w:divBdr>
        </w:div>
        <w:div w:id="998071922">
          <w:marLeft w:val="0"/>
          <w:marRight w:val="0"/>
          <w:marTop w:val="0"/>
          <w:marBottom w:val="0"/>
          <w:divBdr>
            <w:top w:val="none" w:sz="0" w:space="0" w:color="auto"/>
            <w:left w:val="none" w:sz="0" w:space="0" w:color="auto"/>
            <w:bottom w:val="none" w:sz="0" w:space="0" w:color="auto"/>
            <w:right w:val="none" w:sz="0" w:space="0" w:color="auto"/>
          </w:divBdr>
        </w:div>
        <w:div w:id="998071923">
          <w:marLeft w:val="0"/>
          <w:marRight w:val="0"/>
          <w:marTop w:val="0"/>
          <w:marBottom w:val="0"/>
          <w:divBdr>
            <w:top w:val="none" w:sz="0" w:space="0" w:color="auto"/>
            <w:left w:val="none" w:sz="0" w:space="0" w:color="auto"/>
            <w:bottom w:val="none" w:sz="0" w:space="0" w:color="auto"/>
            <w:right w:val="none" w:sz="0" w:space="0" w:color="auto"/>
          </w:divBdr>
        </w:div>
        <w:div w:id="998071924">
          <w:marLeft w:val="0"/>
          <w:marRight w:val="0"/>
          <w:marTop w:val="0"/>
          <w:marBottom w:val="0"/>
          <w:divBdr>
            <w:top w:val="none" w:sz="0" w:space="0" w:color="auto"/>
            <w:left w:val="none" w:sz="0" w:space="0" w:color="auto"/>
            <w:bottom w:val="none" w:sz="0" w:space="0" w:color="auto"/>
            <w:right w:val="none" w:sz="0" w:space="0" w:color="auto"/>
          </w:divBdr>
        </w:div>
        <w:div w:id="998071925">
          <w:marLeft w:val="0"/>
          <w:marRight w:val="0"/>
          <w:marTop w:val="0"/>
          <w:marBottom w:val="0"/>
          <w:divBdr>
            <w:top w:val="none" w:sz="0" w:space="0" w:color="auto"/>
            <w:left w:val="none" w:sz="0" w:space="0" w:color="auto"/>
            <w:bottom w:val="none" w:sz="0" w:space="0" w:color="auto"/>
            <w:right w:val="none" w:sz="0" w:space="0" w:color="auto"/>
          </w:divBdr>
        </w:div>
        <w:div w:id="998071926">
          <w:marLeft w:val="0"/>
          <w:marRight w:val="0"/>
          <w:marTop w:val="0"/>
          <w:marBottom w:val="0"/>
          <w:divBdr>
            <w:top w:val="none" w:sz="0" w:space="0" w:color="auto"/>
            <w:left w:val="none" w:sz="0" w:space="0" w:color="auto"/>
            <w:bottom w:val="none" w:sz="0" w:space="0" w:color="auto"/>
            <w:right w:val="none" w:sz="0" w:space="0" w:color="auto"/>
          </w:divBdr>
        </w:div>
        <w:div w:id="998071927">
          <w:marLeft w:val="0"/>
          <w:marRight w:val="0"/>
          <w:marTop w:val="0"/>
          <w:marBottom w:val="0"/>
          <w:divBdr>
            <w:top w:val="none" w:sz="0" w:space="0" w:color="auto"/>
            <w:left w:val="none" w:sz="0" w:space="0" w:color="auto"/>
            <w:bottom w:val="none" w:sz="0" w:space="0" w:color="auto"/>
            <w:right w:val="none" w:sz="0" w:space="0" w:color="auto"/>
          </w:divBdr>
        </w:div>
        <w:div w:id="998071928">
          <w:marLeft w:val="0"/>
          <w:marRight w:val="0"/>
          <w:marTop w:val="0"/>
          <w:marBottom w:val="0"/>
          <w:divBdr>
            <w:top w:val="none" w:sz="0" w:space="0" w:color="auto"/>
            <w:left w:val="none" w:sz="0" w:space="0" w:color="auto"/>
            <w:bottom w:val="none" w:sz="0" w:space="0" w:color="auto"/>
            <w:right w:val="none" w:sz="0" w:space="0" w:color="auto"/>
          </w:divBdr>
        </w:div>
        <w:div w:id="998071929">
          <w:marLeft w:val="0"/>
          <w:marRight w:val="0"/>
          <w:marTop w:val="0"/>
          <w:marBottom w:val="0"/>
          <w:divBdr>
            <w:top w:val="none" w:sz="0" w:space="0" w:color="auto"/>
            <w:left w:val="none" w:sz="0" w:space="0" w:color="auto"/>
            <w:bottom w:val="none" w:sz="0" w:space="0" w:color="auto"/>
            <w:right w:val="none" w:sz="0" w:space="0" w:color="auto"/>
          </w:divBdr>
        </w:div>
        <w:div w:id="998071930">
          <w:marLeft w:val="0"/>
          <w:marRight w:val="0"/>
          <w:marTop w:val="0"/>
          <w:marBottom w:val="0"/>
          <w:divBdr>
            <w:top w:val="none" w:sz="0" w:space="0" w:color="auto"/>
            <w:left w:val="none" w:sz="0" w:space="0" w:color="auto"/>
            <w:bottom w:val="none" w:sz="0" w:space="0" w:color="auto"/>
            <w:right w:val="none" w:sz="0" w:space="0" w:color="auto"/>
          </w:divBdr>
        </w:div>
        <w:div w:id="998071931">
          <w:marLeft w:val="0"/>
          <w:marRight w:val="0"/>
          <w:marTop w:val="0"/>
          <w:marBottom w:val="0"/>
          <w:divBdr>
            <w:top w:val="none" w:sz="0" w:space="0" w:color="auto"/>
            <w:left w:val="none" w:sz="0" w:space="0" w:color="auto"/>
            <w:bottom w:val="none" w:sz="0" w:space="0" w:color="auto"/>
            <w:right w:val="none" w:sz="0" w:space="0" w:color="auto"/>
          </w:divBdr>
        </w:div>
        <w:div w:id="998071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y%20Music\Downloads\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255C4-BABF-410E-8B2F-B4A47B053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DispositionTemplate.dotx</Template>
  <TotalTime>30</TotalTime>
  <Pages>7</Pages>
  <Words>2144</Words>
  <Characters>12225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Residential Variable Speed Pool Pump Disposition</vt:lpstr>
    </vt:vector>
  </TitlesOfParts>
  <Company>Microsoft</Company>
  <LinksUpToDate>false</LinksUpToDate>
  <CharactersWithSpaces>14341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Variable Speed Pool Pump Disposition</dc:title>
  <dc:subject/>
  <dc:creator>Treasa</dc:creator>
  <cp:keywords/>
  <dc:description/>
  <cp:lastModifiedBy>Andres Fergadiotti</cp:lastModifiedBy>
  <cp:revision>9</cp:revision>
  <cp:lastPrinted>2016-02-15T02:50:00Z</cp:lastPrinted>
  <dcterms:created xsi:type="dcterms:W3CDTF">2018-04-18T20:29:00Z</dcterms:created>
  <dcterms:modified xsi:type="dcterms:W3CDTF">2018-04-26T18:54:00Z</dcterms:modified>
</cp:coreProperties>
</file>